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2C75" w14:textId="31FFF80F" w:rsidR="00481214" w:rsidRDefault="00F4274A" w:rsidP="00166942">
      <w:pPr>
        <w:pStyle w:val="AppendixTitle"/>
        <w:spacing w:before="0"/>
      </w:pPr>
      <w:bookmarkStart w:id="0" w:name="_GoBack"/>
      <w:bookmarkEnd w:id="0"/>
      <w:r>
        <w:t xml:space="preserve">MASTER </w:t>
      </w:r>
      <w:r w:rsidR="00481214">
        <w:t>GLOSSARY</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480"/>
      </w:tblGrid>
      <w:tr w:rsidR="00F14747" w14:paraId="5E196660" w14:textId="77777777" w:rsidTr="008C0B34">
        <w:trPr>
          <w:tblHeader/>
        </w:trPr>
        <w:tc>
          <w:tcPr>
            <w:tcW w:w="3685" w:type="dxa"/>
            <w:shd w:val="clear" w:color="auto" w:fill="D9D9D9" w:themeFill="background1" w:themeFillShade="D9"/>
          </w:tcPr>
          <w:p w14:paraId="2A838F35" w14:textId="58E783ED" w:rsidR="00F14747" w:rsidRPr="005A4B09" w:rsidRDefault="00F14747" w:rsidP="00F14747">
            <w:pPr>
              <w:pStyle w:val="IntenseQuote"/>
              <w:jc w:val="center"/>
              <w:rPr>
                <w:color w:val="082A75" w:themeColor="text2"/>
              </w:rPr>
            </w:pPr>
            <w:r w:rsidRPr="005A4B09">
              <w:rPr>
                <w:color w:val="082A75" w:themeColor="text2"/>
              </w:rPr>
              <w:t>Term</w:t>
            </w:r>
          </w:p>
        </w:tc>
        <w:tc>
          <w:tcPr>
            <w:tcW w:w="6480" w:type="dxa"/>
            <w:shd w:val="clear" w:color="auto" w:fill="D9D9D9" w:themeFill="background1" w:themeFillShade="D9"/>
          </w:tcPr>
          <w:p w14:paraId="370F3963" w14:textId="4EF551B4" w:rsidR="00F14747" w:rsidRPr="005A4B09" w:rsidRDefault="00F14747" w:rsidP="00F14747">
            <w:pPr>
              <w:pStyle w:val="IntenseQuote"/>
              <w:jc w:val="center"/>
              <w:rPr>
                <w:color w:val="082A75" w:themeColor="text2"/>
              </w:rPr>
            </w:pPr>
            <w:r w:rsidRPr="005A4B09">
              <w:rPr>
                <w:color w:val="082A75" w:themeColor="text2"/>
              </w:rPr>
              <w:t>Definition</w:t>
            </w:r>
          </w:p>
        </w:tc>
      </w:tr>
      <w:tr w:rsidR="00A82A2D" w14:paraId="06EF15DF" w14:textId="77777777" w:rsidTr="008C0B34">
        <w:tc>
          <w:tcPr>
            <w:tcW w:w="3685" w:type="dxa"/>
          </w:tcPr>
          <w:p w14:paraId="1B2073B9" w14:textId="0C86EECC" w:rsidR="00A82A2D" w:rsidRPr="00BF7D16" w:rsidRDefault="00A82A2D" w:rsidP="00A82A2D">
            <w:pPr>
              <w:pStyle w:val="Heading4"/>
              <w:outlineLvl w:val="3"/>
            </w:pPr>
          </w:p>
        </w:tc>
        <w:tc>
          <w:tcPr>
            <w:tcW w:w="6480" w:type="dxa"/>
          </w:tcPr>
          <w:p w14:paraId="47043196" w14:textId="77777777" w:rsidR="00A82A2D" w:rsidRPr="00175A44" w:rsidRDefault="00A82A2D" w:rsidP="00A71BC6">
            <w:pPr>
              <w:pStyle w:val="Content"/>
            </w:pPr>
          </w:p>
        </w:tc>
      </w:tr>
      <w:tr w:rsidR="00A71BC6" w14:paraId="4F3B2DAA" w14:textId="77777777" w:rsidTr="008C0B34">
        <w:tc>
          <w:tcPr>
            <w:tcW w:w="3685" w:type="dxa"/>
          </w:tcPr>
          <w:p w14:paraId="47D77225" w14:textId="77777777" w:rsidR="00A71BC6" w:rsidRDefault="00A71BC6" w:rsidP="00A71BC6">
            <w:pPr>
              <w:pStyle w:val="Content"/>
            </w:pPr>
            <w:r w:rsidRPr="00291DB0">
              <w:t>Calibration Drift</w:t>
            </w:r>
            <w:r w:rsidR="00BC033A" w:rsidRPr="00291DB0">
              <w:t xml:space="preserve"> (CD)</w:t>
            </w:r>
          </w:p>
          <w:p w14:paraId="5B3D1588" w14:textId="59ABD766" w:rsidR="00D72AC9" w:rsidRDefault="00D72AC9" w:rsidP="00A71BC6">
            <w:pPr>
              <w:pStyle w:val="Content"/>
            </w:pPr>
          </w:p>
        </w:tc>
        <w:tc>
          <w:tcPr>
            <w:tcW w:w="6480" w:type="dxa"/>
          </w:tcPr>
          <w:p w14:paraId="60447AB0" w14:textId="77777777" w:rsidR="00A71BC6" w:rsidRDefault="00A71BC6" w:rsidP="00A71BC6">
            <w:pPr>
              <w:pStyle w:val="Content"/>
            </w:pPr>
            <w:r w:rsidRPr="00D13564">
              <w:t>The difference in continuous emission monitoring system</w:t>
            </w:r>
            <w:r w:rsidR="00C1299F">
              <w:t>s</w:t>
            </w:r>
            <w:r w:rsidRPr="00D13564">
              <w:t xml:space="preserve"> (CEMS) </w:t>
            </w:r>
            <w:r w:rsidR="00C1299F" w:rsidRPr="00C1299F">
              <w:t>output readings from the established reference value after a stated period of operation during which no unscheduled maintenance, repair, or adjustment took place.</w:t>
            </w:r>
          </w:p>
          <w:p w14:paraId="516FF5F2" w14:textId="7EE63321" w:rsidR="005E3525" w:rsidRPr="008E3D62" w:rsidRDefault="005E3525" w:rsidP="00A71BC6">
            <w:pPr>
              <w:pStyle w:val="Content"/>
            </w:pPr>
          </w:p>
        </w:tc>
      </w:tr>
      <w:tr w:rsidR="00A71BC6" w14:paraId="1214A9E2" w14:textId="77777777" w:rsidTr="008C0B34">
        <w:tc>
          <w:tcPr>
            <w:tcW w:w="3685" w:type="dxa"/>
          </w:tcPr>
          <w:p w14:paraId="08577CED" w14:textId="77777777" w:rsidR="00A71BC6" w:rsidRDefault="00A71BC6" w:rsidP="00A71BC6">
            <w:pPr>
              <w:pStyle w:val="Content"/>
            </w:pPr>
            <w:r w:rsidRPr="00F029D3">
              <w:t>Clean Air Act (CAA)</w:t>
            </w:r>
          </w:p>
          <w:p w14:paraId="06A40415" w14:textId="1B2B5C74" w:rsidR="00FF7164" w:rsidRDefault="00FF7164" w:rsidP="00A71BC6">
            <w:pPr>
              <w:pStyle w:val="Content"/>
            </w:pPr>
          </w:p>
        </w:tc>
        <w:tc>
          <w:tcPr>
            <w:tcW w:w="6480" w:type="dxa"/>
          </w:tcPr>
          <w:p w14:paraId="467A61FB" w14:textId="77777777" w:rsidR="00A71BC6" w:rsidRDefault="00A71BC6" w:rsidP="00A71BC6">
            <w:pPr>
              <w:pStyle w:val="Content"/>
            </w:pPr>
            <w:r w:rsidRPr="008E3D62">
              <w:t xml:space="preserve">The Clean Air Act </w:t>
            </w:r>
            <w:r>
              <w:t xml:space="preserve">is the </w:t>
            </w:r>
            <w:r w:rsidRPr="00607BF1">
              <w:t>United States federal law designed to control air pollution on a national level. The Act calls for states and EPA to solve multiple air pollution problems through programs based on the latest science and technology information.</w:t>
            </w:r>
          </w:p>
          <w:p w14:paraId="5D3D41DD" w14:textId="380C2F2B" w:rsidR="00AD7502" w:rsidRDefault="00AD7502" w:rsidP="00A71BC6">
            <w:pPr>
              <w:pStyle w:val="Content"/>
            </w:pPr>
          </w:p>
        </w:tc>
      </w:tr>
      <w:tr w:rsidR="00A71BC6" w14:paraId="1FA85495" w14:textId="77777777" w:rsidTr="008C0B34">
        <w:tc>
          <w:tcPr>
            <w:tcW w:w="3685" w:type="dxa"/>
          </w:tcPr>
          <w:p w14:paraId="22DCED57" w14:textId="77777777" w:rsidR="00A71BC6" w:rsidRDefault="00A71BC6" w:rsidP="00A71BC6">
            <w:pPr>
              <w:pStyle w:val="Content"/>
            </w:pPr>
            <w:r w:rsidRPr="002D7824">
              <w:t>Continuous Emission Monitoring Systems (CEMS)</w:t>
            </w:r>
          </w:p>
          <w:p w14:paraId="2EEB9153" w14:textId="69867FE4" w:rsidR="00EC0787" w:rsidRPr="005A2FB7" w:rsidRDefault="00EC0787" w:rsidP="00A71BC6">
            <w:pPr>
              <w:pStyle w:val="Content"/>
            </w:pPr>
          </w:p>
        </w:tc>
        <w:tc>
          <w:tcPr>
            <w:tcW w:w="6480" w:type="dxa"/>
          </w:tcPr>
          <w:p w14:paraId="4E011679" w14:textId="1D6F359A" w:rsidR="00AD7502" w:rsidRPr="00AD7502" w:rsidRDefault="00A71BC6" w:rsidP="00AD7502">
            <w:pPr>
              <w:pStyle w:val="Content"/>
            </w:pPr>
            <w:r w:rsidRPr="00F02E91">
              <w:t xml:space="preserve">Total equipment </w:t>
            </w:r>
            <w:r w:rsidR="00AD7502" w:rsidRPr="00AD7502">
              <w:t>necessary to determine a gas or particulate matter emission concentration.</w:t>
            </w:r>
            <w:r w:rsidR="00AD7502">
              <w:t xml:space="preserve"> The </w:t>
            </w:r>
            <w:r w:rsidR="00AD7502" w:rsidRPr="00AD7502">
              <w:t>total equipment includes sample extraction and transport hardware, analyzer/measurement method, data recording and processing hardware, and software.</w:t>
            </w:r>
          </w:p>
          <w:p w14:paraId="1E32D87F" w14:textId="1AC7ED23" w:rsidR="00A71BC6" w:rsidRDefault="00A71BC6" w:rsidP="00A71BC6">
            <w:pPr>
              <w:pStyle w:val="Content"/>
            </w:pPr>
          </w:p>
        </w:tc>
      </w:tr>
      <w:tr w:rsidR="00A71BC6" w14:paraId="75B2BBC8" w14:textId="77777777" w:rsidTr="008C0B34">
        <w:tc>
          <w:tcPr>
            <w:tcW w:w="3685" w:type="dxa"/>
          </w:tcPr>
          <w:p w14:paraId="31DE3910" w14:textId="77777777" w:rsidR="00A71BC6" w:rsidRPr="002D7824" w:rsidRDefault="00A71BC6" w:rsidP="00A71BC6">
            <w:pPr>
              <w:pStyle w:val="Content"/>
            </w:pPr>
            <w:r w:rsidRPr="002D7824">
              <w:t>Continuous Emission Rate Monitoring Systems (CERMS)</w:t>
            </w:r>
          </w:p>
          <w:p w14:paraId="5941E918" w14:textId="67E53F0B" w:rsidR="00EC0787" w:rsidRPr="00F029D3" w:rsidRDefault="00EC0787" w:rsidP="00A71BC6">
            <w:pPr>
              <w:pStyle w:val="Content"/>
              <w:rPr>
                <w:highlight w:val="yellow"/>
              </w:rPr>
            </w:pPr>
          </w:p>
        </w:tc>
        <w:tc>
          <w:tcPr>
            <w:tcW w:w="6480" w:type="dxa"/>
          </w:tcPr>
          <w:p w14:paraId="13872621" w14:textId="77777777" w:rsidR="00A71BC6" w:rsidRDefault="00A71BC6" w:rsidP="00A71BC6">
            <w:pPr>
              <w:pStyle w:val="Content"/>
            </w:pPr>
            <w:r>
              <w:t>T</w:t>
            </w:r>
            <w:r w:rsidRPr="003A1255">
              <w:t>he total equipment required for determining and recording the pollutant mass emission rate (in terms of mass per unit of time).</w:t>
            </w:r>
          </w:p>
          <w:p w14:paraId="509816E2" w14:textId="1923F553" w:rsidR="005E3525" w:rsidRDefault="005E3525" w:rsidP="00A71BC6">
            <w:pPr>
              <w:pStyle w:val="Content"/>
            </w:pPr>
          </w:p>
        </w:tc>
      </w:tr>
      <w:tr w:rsidR="00A71BC6" w14:paraId="064DD3BD" w14:textId="77777777" w:rsidTr="008C0B34">
        <w:tc>
          <w:tcPr>
            <w:tcW w:w="3685" w:type="dxa"/>
          </w:tcPr>
          <w:p w14:paraId="4272D996" w14:textId="77777777" w:rsidR="00A71BC6" w:rsidRDefault="00A71BC6" w:rsidP="00A71BC6">
            <w:pPr>
              <w:pStyle w:val="Content"/>
            </w:pPr>
            <w:r w:rsidRPr="002D7824">
              <w:t>Continuous Monitoring Systems (CMS)</w:t>
            </w:r>
          </w:p>
          <w:p w14:paraId="634D0CC0" w14:textId="60B07471" w:rsidR="00EC0787" w:rsidRDefault="00EC0787" w:rsidP="00A71BC6">
            <w:pPr>
              <w:pStyle w:val="Content"/>
            </w:pPr>
          </w:p>
        </w:tc>
        <w:tc>
          <w:tcPr>
            <w:tcW w:w="6480" w:type="dxa"/>
          </w:tcPr>
          <w:p w14:paraId="079A721A" w14:textId="77777777" w:rsidR="00A71BC6" w:rsidRDefault="00A71BC6" w:rsidP="00A71BC6">
            <w:pPr>
              <w:pStyle w:val="Content"/>
            </w:pPr>
            <w:r>
              <w:t xml:space="preserve">Per 40 CFR, 63.2, </w:t>
            </w:r>
            <w:r w:rsidR="00F029D3">
              <w:t>c</w:t>
            </w:r>
            <w:r w:rsidR="00F029D3" w:rsidRPr="00F029D3">
              <w:t>ontinuous monitoring systems may include, but are not limited to, “continuous emission monitoring systems, continuous opacity monitoring systems, continuous parameter monitoring systems, or other manual or automatic monitoring that is used for demonstrating compliance with an applicable regulation on a continuous basis as defined by the regulation</w:t>
            </w:r>
            <w:r w:rsidR="00F029D3">
              <w:t>.”</w:t>
            </w:r>
          </w:p>
          <w:p w14:paraId="756A33B0" w14:textId="42CE8393" w:rsidR="005E3525" w:rsidRDefault="005E3525" w:rsidP="00A71BC6">
            <w:pPr>
              <w:pStyle w:val="Content"/>
            </w:pPr>
          </w:p>
        </w:tc>
      </w:tr>
      <w:tr w:rsidR="00A71BC6" w14:paraId="3FB95A43" w14:textId="77777777" w:rsidTr="008C0B34">
        <w:tc>
          <w:tcPr>
            <w:tcW w:w="3685" w:type="dxa"/>
          </w:tcPr>
          <w:p w14:paraId="248CA58C" w14:textId="77777777" w:rsidR="00A71BC6" w:rsidRDefault="00A71BC6" w:rsidP="00A71BC6">
            <w:pPr>
              <w:pStyle w:val="Content"/>
            </w:pPr>
            <w:r w:rsidRPr="002D7824">
              <w:t>Continuous Opacity Monitoring Systems (COMS)</w:t>
            </w:r>
          </w:p>
          <w:p w14:paraId="72C0A33E" w14:textId="6C6FFF05" w:rsidR="00EC0787" w:rsidRDefault="00EC0787" w:rsidP="00A71BC6">
            <w:pPr>
              <w:pStyle w:val="Content"/>
            </w:pPr>
          </w:p>
        </w:tc>
        <w:tc>
          <w:tcPr>
            <w:tcW w:w="6480" w:type="dxa"/>
          </w:tcPr>
          <w:p w14:paraId="2EBDBAF0" w14:textId="43AE6298" w:rsidR="00A71BC6" w:rsidRDefault="00F029D3" w:rsidP="00A71BC6">
            <w:pPr>
              <w:pStyle w:val="Content"/>
            </w:pPr>
            <w:r>
              <w:t>The t</w:t>
            </w:r>
            <w:r w:rsidRPr="00F029D3">
              <w:t>otal equipment used to sample, analyze, and provide a permanent record of opacity.</w:t>
            </w:r>
          </w:p>
        </w:tc>
      </w:tr>
      <w:tr w:rsidR="00A71BC6" w14:paraId="1EC730E9" w14:textId="77777777" w:rsidTr="008C0B34">
        <w:tc>
          <w:tcPr>
            <w:tcW w:w="3685" w:type="dxa"/>
          </w:tcPr>
          <w:p w14:paraId="0EBCD318" w14:textId="77777777" w:rsidR="00A71BC6" w:rsidRPr="00E214A3" w:rsidRDefault="00A71BC6" w:rsidP="00A71BC6">
            <w:pPr>
              <w:pStyle w:val="Content"/>
            </w:pPr>
            <w:r w:rsidRPr="00E214A3">
              <w:lastRenderedPageBreak/>
              <w:t>Cylinder Gas Audit (CGA)</w:t>
            </w:r>
          </w:p>
          <w:p w14:paraId="4A6EC1F8" w14:textId="1F975935" w:rsidR="00EC0787" w:rsidRPr="00E214A3" w:rsidRDefault="00EC0787" w:rsidP="00A71BC6">
            <w:pPr>
              <w:pStyle w:val="Content"/>
            </w:pPr>
          </w:p>
        </w:tc>
        <w:tc>
          <w:tcPr>
            <w:tcW w:w="6480" w:type="dxa"/>
          </w:tcPr>
          <w:p w14:paraId="16142B20" w14:textId="0181DC8C" w:rsidR="00A71BC6" w:rsidRPr="00E214A3" w:rsidRDefault="00A71BC6" w:rsidP="00A71BC6">
            <w:pPr>
              <w:pStyle w:val="Content"/>
            </w:pPr>
            <w:r w:rsidRPr="00E214A3">
              <w:t xml:space="preserve">Performed as </w:t>
            </w:r>
            <w:r w:rsidR="1C16E822" w:rsidRPr="00E214A3">
              <w:t>a</w:t>
            </w:r>
            <w:r w:rsidRPr="00E214A3">
              <w:t xml:space="preserve"> quarterly audit of a CEMS.  It is used to determine its </w:t>
            </w:r>
            <w:r w:rsidR="123E3718" w:rsidRPr="00E214A3">
              <w:t>accuracy</w:t>
            </w:r>
            <w:r w:rsidRPr="00E214A3">
              <w:t>.</w:t>
            </w:r>
          </w:p>
        </w:tc>
      </w:tr>
      <w:tr w:rsidR="003D396E" w14:paraId="25525FEB" w14:textId="77777777" w:rsidTr="008C0B34">
        <w:tc>
          <w:tcPr>
            <w:tcW w:w="3685" w:type="dxa"/>
          </w:tcPr>
          <w:p w14:paraId="58D5291D" w14:textId="77777777" w:rsidR="00F15C5D" w:rsidRDefault="00F15C5D" w:rsidP="003D396E">
            <w:pPr>
              <w:pStyle w:val="Content"/>
            </w:pPr>
          </w:p>
          <w:p w14:paraId="1A6F382E" w14:textId="4F5DB427" w:rsidR="003D396E" w:rsidRPr="00E214A3" w:rsidRDefault="003D396E" w:rsidP="003D396E">
            <w:pPr>
              <w:pStyle w:val="Content"/>
            </w:pPr>
            <w:r w:rsidRPr="00E214A3">
              <w:t>Diluent Analyzer</w:t>
            </w:r>
          </w:p>
          <w:p w14:paraId="0696D76A" w14:textId="0C45F96F" w:rsidR="00EC0787" w:rsidRPr="00E214A3" w:rsidRDefault="00EC0787" w:rsidP="003D396E">
            <w:pPr>
              <w:pStyle w:val="Content"/>
            </w:pPr>
          </w:p>
        </w:tc>
        <w:tc>
          <w:tcPr>
            <w:tcW w:w="6480" w:type="dxa"/>
          </w:tcPr>
          <w:p w14:paraId="3403C890" w14:textId="77777777" w:rsidR="00F15C5D" w:rsidRDefault="00F15C5D" w:rsidP="003D396E">
            <w:pPr>
              <w:pStyle w:val="Content"/>
            </w:pPr>
          </w:p>
          <w:p w14:paraId="7296D084" w14:textId="04971B6D" w:rsidR="003D396E" w:rsidRDefault="003D396E" w:rsidP="003D396E">
            <w:pPr>
              <w:pStyle w:val="Content"/>
            </w:pPr>
            <w:r w:rsidRPr="00E214A3">
              <w:t>That portion of the CEMS that senses diluent gases (CO</w:t>
            </w:r>
            <w:r w:rsidRPr="0039488E">
              <w:rPr>
                <w:vertAlign w:val="subscript"/>
              </w:rPr>
              <w:t>2</w:t>
            </w:r>
            <w:r w:rsidRPr="00E214A3">
              <w:t xml:space="preserve"> or O</w:t>
            </w:r>
            <w:r w:rsidRPr="0039488E">
              <w:rPr>
                <w:vertAlign w:val="subscript"/>
              </w:rPr>
              <w:t>2</w:t>
            </w:r>
            <w:r w:rsidRPr="00E214A3">
              <w:t>) and generates an output proportional to the gas concentration.</w:t>
            </w:r>
          </w:p>
          <w:p w14:paraId="63D2B40E" w14:textId="4B17FECD" w:rsidR="005E3525" w:rsidRPr="00E214A3" w:rsidRDefault="005E3525" w:rsidP="003D396E">
            <w:pPr>
              <w:pStyle w:val="Content"/>
            </w:pPr>
          </w:p>
        </w:tc>
      </w:tr>
      <w:tr w:rsidR="00BB209A" w14:paraId="5CFA6970" w14:textId="77777777" w:rsidTr="008C0B34">
        <w:tc>
          <w:tcPr>
            <w:tcW w:w="3685" w:type="dxa"/>
          </w:tcPr>
          <w:p w14:paraId="3A77823A" w14:textId="77777777" w:rsidR="00BB209A" w:rsidRDefault="00BB209A" w:rsidP="00BB209A">
            <w:pPr>
              <w:pStyle w:val="Content"/>
            </w:pPr>
            <w:r w:rsidRPr="00234ABC">
              <w:t>Diluent Gas</w:t>
            </w:r>
          </w:p>
          <w:p w14:paraId="0466B6B1" w14:textId="737ECD1F" w:rsidR="00EC0787" w:rsidRDefault="00EC0787" w:rsidP="00BB209A">
            <w:pPr>
              <w:pStyle w:val="Content"/>
            </w:pPr>
          </w:p>
        </w:tc>
        <w:tc>
          <w:tcPr>
            <w:tcW w:w="6480" w:type="dxa"/>
          </w:tcPr>
          <w:p w14:paraId="530C6F35" w14:textId="77777777" w:rsidR="00BB209A" w:rsidRDefault="00BB209A" w:rsidP="00BB209A">
            <w:pPr>
              <w:pStyle w:val="Content"/>
            </w:pPr>
            <w:r>
              <w:t>A</w:t>
            </w:r>
            <w:r w:rsidRPr="00630CA9">
              <w:t xml:space="preserve"> major gaseous constituent in a gaseous pollutant mixture. For combustion sources, either carbon dioxide (CO</w:t>
            </w:r>
            <w:r w:rsidRPr="0039488E">
              <w:rPr>
                <w:vertAlign w:val="subscript"/>
              </w:rPr>
              <w:t>2</w:t>
            </w:r>
            <w:r w:rsidRPr="00630CA9">
              <w:t>) or oxygen (O</w:t>
            </w:r>
            <w:r w:rsidRPr="0039488E">
              <w:rPr>
                <w:vertAlign w:val="subscript"/>
              </w:rPr>
              <w:t>2</w:t>
            </w:r>
            <w:r w:rsidRPr="00630CA9">
              <w:t>) or a combination of these two gases are the major gaseous diluents of interest.</w:t>
            </w:r>
          </w:p>
          <w:p w14:paraId="737B51B4" w14:textId="1F131FD2" w:rsidR="005E3525" w:rsidRPr="00626319" w:rsidRDefault="005E3525" w:rsidP="00BB209A">
            <w:pPr>
              <w:pStyle w:val="Content"/>
            </w:pPr>
          </w:p>
        </w:tc>
      </w:tr>
      <w:tr w:rsidR="00A71BC6" w14:paraId="29A3B1BD" w14:textId="77777777" w:rsidTr="008C0B34">
        <w:tc>
          <w:tcPr>
            <w:tcW w:w="3685" w:type="dxa"/>
          </w:tcPr>
          <w:p w14:paraId="1943FA42" w14:textId="7FE3DB9C" w:rsidR="00A71BC6" w:rsidRDefault="00A71BC6" w:rsidP="00A71BC6">
            <w:pPr>
              <w:pStyle w:val="Content"/>
            </w:pPr>
            <w:r w:rsidRPr="00234ABC">
              <w:t>Dilution Extractive Systems</w:t>
            </w:r>
          </w:p>
          <w:p w14:paraId="636CDDF7" w14:textId="62900822" w:rsidR="00EC0787" w:rsidRDefault="00EC0787" w:rsidP="00A71BC6">
            <w:pPr>
              <w:pStyle w:val="Content"/>
            </w:pPr>
          </w:p>
          <w:p w14:paraId="7902DD23" w14:textId="42823BFC" w:rsidR="00EC0787" w:rsidRDefault="00EC0787" w:rsidP="00A71BC6">
            <w:pPr>
              <w:pStyle w:val="Content"/>
            </w:pPr>
          </w:p>
        </w:tc>
        <w:tc>
          <w:tcPr>
            <w:tcW w:w="6480" w:type="dxa"/>
          </w:tcPr>
          <w:p w14:paraId="2DCA925D" w14:textId="77777777" w:rsidR="00A71BC6" w:rsidRDefault="001965B7" w:rsidP="001965B7">
            <w:pPr>
              <w:pStyle w:val="Content"/>
              <w:rPr>
                <w:szCs w:val="24"/>
              </w:rPr>
            </w:pPr>
            <w:r w:rsidRPr="001965B7">
              <w:rPr>
                <w:szCs w:val="24"/>
              </w:rPr>
              <w:t>The sample gas is diluted with dry, contamination-free air to a level below the dew point of the diluted sample gas to eliminate condensation in the sample line. The diluted sample is measured by pollutant and CO</w:t>
            </w:r>
            <w:r w:rsidRPr="0039488E">
              <w:rPr>
                <w:szCs w:val="24"/>
                <w:vertAlign w:val="subscript"/>
              </w:rPr>
              <w:t>2</w:t>
            </w:r>
            <w:r w:rsidRPr="001965B7">
              <w:rPr>
                <w:szCs w:val="24"/>
              </w:rPr>
              <w:t xml:space="preserve"> monitors operating at or near ambient concentration ranges to provide concentration measurements on a wet basis</w:t>
            </w:r>
            <w:r>
              <w:rPr>
                <w:szCs w:val="24"/>
              </w:rPr>
              <w:t>.</w:t>
            </w:r>
          </w:p>
          <w:p w14:paraId="7DEA8956" w14:textId="1FAF93EC" w:rsidR="00F15C5D" w:rsidRPr="001965B7" w:rsidRDefault="00F15C5D" w:rsidP="001965B7">
            <w:pPr>
              <w:pStyle w:val="Content"/>
              <w:rPr>
                <w:szCs w:val="24"/>
              </w:rPr>
            </w:pPr>
          </w:p>
        </w:tc>
      </w:tr>
      <w:tr w:rsidR="00A71BC6" w14:paraId="56FA2162" w14:textId="77777777" w:rsidTr="008C0B34">
        <w:tc>
          <w:tcPr>
            <w:tcW w:w="3685" w:type="dxa"/>
          </w:tcPr>
          <w:p w14:paraId="135CCC18" w14:textId="77777777" w:rsidR="00A71BC6" w:rsidRDefault="00A71BC6" w:rsidP="00A71BC6">
            <w:pPr>
              <w:pStyle w:val="Content"/>
            </w:pPr>
            <w:r w:rsidRPr="00AF403C">
              <w:t>Extractive System</w:t>
            </w:r>
          </w:p>
          <w:p w14:paraId="2BE9B8D1" w14:textId="6A928DF4" w:rsidR="00EC0787" w:rsidRDefault="00EC0787" w:rsidP="00E214A3">
            <w:pPr>
              <w:pStyle w:val="Content"/>
            </w:pPr>
          </w:p>
        </w:tc>
        <w:tc>
          <w:tcPr>
            <w:tcW w:w="6480" w:type="dxa"/>
          </w:tcPr>
          <w:p w14:paraId="4063FD53" w14:textId="47224D3A" w:rsidR="00A71BC6" w:rsidRPr="00A74BF6" w:rsidRDefault="00A71BC6" w:rsidP="00A71BC6">
            <w:pPr>
              <w:pStyle w:val="Content"/>
              <w:rPr>
                <w:bCs/>
              </w:rPr>
            </w:pPr>
            <w:r>
              <w:t>A CEMS where you w</w:t>
            </w:r>
            <w:r w:rsidRPr="003C46AC">
              <w:t xml:space="preserve">ithdraw flue gas from the stack and transport the gas to the analyzers. </w:t>
            </w:r>
            <w:r w:rsidRPr="00BF611A">
              <w:t>An extractive system may be either source-level or dilution.</w:t>
            </w:r>
          </w:p>
        </w:tc>
      </w:tr>
      <w:tr w:rsidR="00BB209A" w14:paraId="2BB8622A" w14:textId="77777777" w:rsidTr="008C0B34">
        <w:tc>
          <w:tcPr>
            <w:tcW w:w="3685" w:type="dxa"/>
          </w:tcPr>
          <w:p w14:paraId="5AC6A645" w14:textId="10321D59" w:rsidR="00BB209A" w:rsidRPr="00F15C5D" w:rsidRDefault="00BB209A" w:rsidP="00BB209A">
            <w:pPr>
              <w:pStyle w:val="Heading4"/>
              <w:outlineLvl w:val="3"/>
              <w:rPr>
                <w:i w:val="0"/>
                <w:iCs w:val="0"/>
              </w:rPr>
            </w:pPr>
          </w:p>
        </w:tc>
        <w:tc>
          <w:tcPr>
            <w:tcW w:w="6480" w:type="dxa"/>
          </w:tcPr>
          <w:p w14:paraId="11E57B50" w14:textId="77777777" w:rsidR="00BB209A" w:rsidRPr="00A74BF6" w:rsidRDefault="00BB209A" w:rsidP="00BB209A">
            <w:pPr>
              <w:pStyle w:val="Content"/>
              <w:rPr>
                <w:bCs/>
              </w:rPr>
            </w:pPr>
          </w:p>
        </w:tc>
      </w:tr>
      <w:tr w:rsidR="00BB209A" w14:paraId="5D7516F0" w14:textId="77777777" w:rsidTr="008C0B34">
        <w:tc>
          <w:tcPr>
            <w:tcW w:w="3685" w:type="dxa"/>
          </w:tcPr>
          <w:p w14:paraId="08997559" w14:textId="77777777" w:rsidR="00BB209A" w:rsidRPr="00AF403C" w:rsidRDefault="00BB209A" w:rsidP="00BB209A">
            <w:pPr>
              <w:pStyle w:val="Content"/>
            </w:pPr>
            <w:r w:rsidRPr="00AF403C">
              <w:t>In-situ System</w:t>
            </w:r>
          </w:p>
          <w:p w14:paraId="6F1E616E" w14:textId="6A5CE3BB" w:rsidR="00976020" w:rsidRDefault="00976020" w:rsidP="00E214A3">
            <w:pPr>
              <w:pStyle w:val="Content"/>
            </w:pPr>
          </w:p>
        </w:tc>
        <w:tc>
          <w:tcPr>
            <w:tcW w:w="6480" w:type="dxa"/>
          </w:tcPr>
          <w:p w14:paraId="7B8CA3CE" w14:textId="2DF4BC1B" w:rsidR="00BB209A" w:rsidRPr="00A74BF6" w:rsidRDefault="00BB209A" w:rsidP="00BB209A">
            <w:pPr>
              <w:pStyle w:val="Content"/>
              <w:rPr>
                <w:bCs/>
              </w:rPr>
            </w:pPr>
            <w:r>
              <w:t xml:space="preserve">A CEMS where you </w:t>
            </w:r>
            <w:r w:rsidRPr="00167D5B">
              <w:rPr>
                <w:bCs/>
              </w:rPr>
              <w:t>have at least some part of their analysis subsystem mounted in the stack in direct contact with the flue gas.</w:t>
            </w:r>
          </w:p>
        </w:tc>
      </w:tr>
      <w:tr w:rsidR="00BB209A" w14:paraId="09ECE9C9" w14:textId="77777777" w:rsidTr="008C0B34">
        <w:tc>
          <w:tcPr>
            <w:tcW w:w="3685" w:type="dxa"/>
          </w:tcPr>
          <w:p w14:paraId="6B5693D6" w14:textId="6D9C9B6C" w:rsidR="00BB209A" w:rsidRDefault="00BB209A" w:rsidP="00BB209A">
            <w:pPr>
              <w:pStyle w:val="Heading4"/>
              <w:outlineLvl w:val="3"/>
            </w:pPr>
          </w:p>
        </w:tc>
        <w:tc>
          <w:tcPr>
            <w:tcW w:w="6480" w:type="dxa"/>
          </w:tcPr>
          <w:p w14:paraId="73727B31" w14:textId="77777777" w:rsidR="00BB209A" w:rsidRPr="00A74BF6" w:rsidRDefault="00BB209A" w:rsidP="00BB209A">
            <w:pPr>
              <w:pStyle w:val="Content"/>
              <w:rPr>
                <w:bCs/>
              </w:rPr>
            </w:pPr>
          </w:p>
        </w:tc>
      </w:tr>
      <w:tr w:rsidR="00BB209A" w14:paraId="0E87BEF0" w14:textId="77777777" w:rsidTr="008C0B34">
        <w:tc>
          <w:tcPr>
            <w:tcW w:w="3685" w:type="dxa"/>
          </w:tcPr>
          <w:p w14:paraId="0AA19CC7" w14:textId="77777777" w:rsidR="00BB209A" w:rsidRPr="00AF403C" w:rsidRDefault="00BB209A" w:rsidP="00BB209A">
            <w:pPr>
              <w:pStyle w:val="Content"/>
            </w:pPr>
            <w:r w:rsidRPr="00AF403C">
              <w:t>Opacity</w:t>
            </w:r>
          </w:p>
          <w:p w14:paraId="25258A54" w14:textId="3641853F" w:rsidR="00976020" w:rsidRPr="00AF403C" w:rsidRDefault="00976020" w:rsidP="00E214A3">
            <w:pPr>
              <w:pStyle w:val="Content"/>
            </w:pPr>
          </w:p>
        </w:tc>
        <w:tc>
          <w:tcPr>
            <w:tcW w:w="6480" w:type="dxa"/>
          </w:tcPr>
          <w:p w14:paraId="2219A57B" w14:textId="77777777" w:rsidR="00BB209A" w:rsidRDefault="00BB209A" w:rsidP="00BB209A">
            <w:pPr>
              <w:pStyle w:val="Content"/>
              <w:rPr>
                <w:bCs/>
              </w:rPr>
            </w:pPr>
            <w:r w:rsidRPr="00A74BF6">
              <w:rPr>
                <w:bCs/>
              </w:rPr>
              <w:t>The percentage of light that is attenuated by an optical medium</w:t>
            </w:r>
            <w:r>
              <w:rPr>
                <w:bCs/>
              </w:rPr>
              <w:t>.</w:t>
            </w:r>
            <w:r w:rsidRPr="00A74BF6">
              <w:rPr>
                <w:bCs/>
              </w:rPr>
              <w:t xml:space="preserve">  </w:t>
            </w:r>
          </w:p>
          <w:p w14:paraId="2C387FB3" w14:textId="292596DF" w:rsidR="005E3525" w:rsidRPr="00A74BF6" w:rsidRDefault="005E3525" w:rsidP="00BB209A">
            <w:pPr>
              <w:pStyle w:val="Content"/>
              <w:rPr>
                <w:bCs/>
              </w:rPr>
            </w:pPr>
          </w:p>
        </w:tc>
      </w:tr>
      <w:tr w:rsidR="00BB209A" w14:paraId="2B61D55F" w14:textId="77777777" w:rsidTr="008C0B34">
        <w:tc>
          <w:tcPr>
            <w:tcW w:w="3685" w:type="dxa"/>
          </w:tcPr>
          <w:p w14:paraId="2E7DE25E" w14:textId="77777777" w:rsidR="00BB209A" w:rsidRPr="00AF403C" w:rsidRDefault="00BB209A" w:rsidP="00BB209A">
            <w:pPr>
              <w:pStyle w:val="Content"/>
            </w:pPr>
            <w:r w:rsidRPr="00AF403C">
              <w:t>Optical Alignment</w:t>
            </w:r>
          </w:p>
          <w:p w14:paraId="2A1F8A2D" w14:textId="60BF85D3" w:rsidR="00976020" w:rsidRPr="00AF403C" w:rsidRDefault="00976020" w:rsidP="00E214A3">
            <w:pPr>
              <w:pStyle w:val="Content"/>
            </w:pPr>
          </w:p>
        </w:tc>
        <w:tc>
          <w:tcPr>
            <w:tcW w:w="6480" w:type="dxa"/>
          </w:tcPr>
          <w:p w14:paraId="67BD56E5" w14:textId="77777777" w:rsidR="00BB209A" w:rsidRDefault="00BB209A" w:rsidP="00BB209A">
            <w:pPr>
              <w:pStyle w:val="Content"/>
            </w:pPr>
            <w:r w:rsidRPr="0073501D">
              <w:t>Optical alignment is an indication of alignment that is objectively apparent relative to reference markers or conditions.</w:t>
            </w:r>
          </w:p>
          <w:p w14:paraId="1704BA0A" w14:textId="4CEE2990" w:rsidR="005E3525" w:rsidRPr="00DC68AC" w:rsidRDefault="005E3525" w:rsidP="00BB209A">
            <w:pPr>
              <w:pStyle w:val="Content"/>
            </w:pPr>
          </w:p>
        </w:tc>
      </w:tr>
      <w:tr w:rsidR="00D224AB" w14:paraId="354542B1" w14:textId="77777777" w:rsidTr="008C0B34">
        <w:tc>
          <w:tcPr>
            <w:tcW w:w="3685" w:type="dxa"/>
          </w:tcPr>
          <w:p w14:paraId="6EC6A657" w14:textId="77777777" w:rsidR="00D224AB" w:rsidRDefault="00D224AB" w:rsidP="00D224AB">
            <w:pPr>
              <w:pStyle w:val="Content"/>
            </w:pPr>
            <w:r>
              <w:t>Performance Audit</w:t>
            </w:r>
          </w:p>
          <w:p w14:paraId="74C8C79A" w14:textId="7F0E9DBF" w:rsidR="00976020" w:rsidRDefault="00976020" w:rsidP="00E214A3">
            <w:pPr>
              <w:pStyle w:val="Content"/>
            </w:pPr>
          </w:p>
        </w:tc>
        <w:tc>
          <w:tcPr>
            <w:tcW w:w="6480" w:type="dxa"/>
          </w:tcPr>
          <w:p w14:paraId="6A23F2FC" w14:textId="77777777" w:rsidR="00D224AB" w:rsidRDefault="00D224AB" w:rsidP="00D224AB">
            <w:pPr>
              <w:pStyle w:val="Content"/>
            </w:pPr>
            <w:r>
              <w:t xml:space="preserve">A quantitative evaluation, which includes things such as a Cylinder Gas Audit (CGA), Relative Accuracy Test Audit (RATA), and Relative Accuracy Audit (RAA). Performance audit procedures are critical for verifying proper performance of the </w:t>
            </w:r>
            <w:r>
              <w:lastRenderedPageBreak/>
              <w:t>monitoring systems and identifying problems which may lead to inaccurate emissions accounting.</w:t>
            </w:r>
          </w:p>
          <w:p w14:paraId="559E4EE3" w14:textId="47E2FD80" w:rsidR="005E3525" w:rsidRDefault="005E3525" w:rsidP="00D224AB">
            <w:pPr>
              <w:pStyle w:val="Content"/>
            </w:pPr>
          </w:p>
        </w:tc>
      </w:tr>
      <w:tr w:rsidR="00CC1C06" w14:paraId="03A4C481" w14:textId="77777777" w:rsidTr="008C0B34">
        <w:tc>
          <w:tcPr>
            <w:tcW w:w="3685" w:type="dxa"/>
          </w:tcPr>
          <w:p w14:paraId="5DDC9A5D" w14:textId="77777777" w:rsidR="00CC1C06" w:rsidRPr="00AF403C" w:rsidRDefault="00CC1C06" w:rsidP="00CC1C06">
            <w:pPr>
              <w:pStyle w:val="Content"/>
            </w:pPr>
            <w:r w:rsidRPr="00AF403C">
              <w:lastRenderedPageBreak/>
              <w:t>Performance Specifications</w:t>
            </w:r>
            <w:r w:rsidR="00D224AB" w:rsidRPr="00AF403C">
              <w:t xml:space="preserve"> (PS)</w:t>
            </w:r>
          </w:p>
          <w:p w14:paraId="277FD76A" w14:textId="4F4EEFC3" w:rsidR="00A624A7" w:rsidRDefault="00A624A7" w:rsidP="00CC1C06">
            <w:pPr>
              <w:pStyle w:val="Content"/>
            </w:pPr>
          </w:p>
        </w:tc>
        <w:tc>
          <w:tcPr>
            <w:tcW w:w="6480" w:type="dxa"/>
          </w:tcPr>
          <w:p w14:paraId="72305EC6" w14:textId="77777777" w:rsidR="00CC1C06" w:rsidRDefault="00CC1C06" w:rsidP="00CC1C06">
            <w:pPr>
              <w:pStyle w:val="Content"/>
            </w:pPr>
            <w:r>
              <w:t>Performance specifications are used for evaluating the acceptability of the CEMS at the time of, or soon after installation, or whenever specified in the regulations.</w:t>
            </w:r>
          </w:p>
          <w:p w14:paraId="6E77C3F0" w14:textId="002DA570" w:rsidR="005E3525" w:rsidRPr="00A74BF6" w:rsidRDefault="005E3525" w:rsidP="00CC1C06">
            <w:pPr>
              <w:pStyle w:val="Content"/>
              <w:rPr>
                <w:bCs/>
              </w:rPr>
            </w:pPr>
          </w:p>
        </w:tc>
      </w:tr>
      <w:tr w:rsidR="00D224AB" w14:paraId="22FFC02D" w14:textId="77777777" w:rsidTr="008C0B34">
        <w:tc>
          <w:tcPr>
            <w:tcW w:w="3685" w:type="dxa"/>
          </w:tcPr>
          <w:p w14:paraId="2B75D819" w14:textId="05C89980" w:rsidR="00D224AB" w:rsidRPr="00AF403C" w:rsidRDefault="00D224AB" w:rsidP="00D224AB">
            <w:pPr>
              <w:pStyle w:val="Content"/>
            </w:pPr>
            <w:r w:rsidRPr="00AF403C">
              <w:t>Pi</w:t>
            </w:r>
            <w:r w:rsidR="00576B5C" w:rsidRPr="00AF403C">
              <w:t>t</w:t>
            </w:r>
            <w:r w:rsidRPr="00AF403C">
              <w:t>ot Tubes</w:t>
            </w:r>
          </w:p>
          <w:p w14:paraId="3C422B5C" w14:textId="3A3C0418" w:rsidR="00B73BFB" w:rsidRPr="00AF403C" w:rsidRDefault="00B73BFB" w:rsidP="00E214A3">
            <w:pPr>
              <w:pStyle w:val="Content"/>
            </w:pPr>
          </w:p>
        </w:tc>
        <w:tc>
          <w:tcPr>
            <w:tcW w:w="6480" w:type="dxa"/>
          </w:tcPr>
          <w:p w14:paraId="4DF8E83B" w14:textId="77777777" w:rsidR="00D224AB" w:rsidRDefault="00D224AB" w:rsidP="00D224AB">
            <w:pPr>
              <w:pStyle w:val="Content"/>
            </w:pPr>
            <w:r>
              <w:t>U</w:t>
            </w:r>
            <w:r w:rsidRPr="00EB3276">
              <w:t>se the differential pressure between the measurements of total pressure and the static pressure at a point in the stack to calculate the stack gas velocity and volumetric flowrate</w:t>
            </w:r>
            <w:r>
              <w:t>.</w:t>
            </w:r>
          </w:p>
          <w:p w14:paraId="518629D5" w14:textId="44B0CEC3" w:rsidR="005E3525" w:rsidRPr="0050445C" w:rsidRDefault="005E3525" w:rsidP="00D224AB">
            <w:pPr>
              <w:pStyle w:val="Content"/>
            </w:pPr>
          </w:p>
        </w:tc>
      </w:tr>
      <w:tr w:rsidR="00D224AB" w14:paraId="4C283E6F" w14:textId="77777777" w:rsidTr="008C0B34">
        <w:tc>
          <w:tcPr>
            <w:tcW w:w="3685" w:type="dxa"/>
          </w:tcPr>
          <w:p w14:paraId="716A214A" w14:textId="77777777" w:rsidR="00D224AB" w:rsidRPr="00AF403C" w:rsidRDefault="00D224AB" w:rsidP="00D224AB">
            <w:pPr>
              <w:pStyle w:val="Content"/>
            </w:pPr>
            <w:r w:rsidRPr="00AF403C">
              <w:t>Predictive Emission Monitoring Systems (PEMS)</w:t>
            </w:r>
          </w:p>
          <w:p w14:paraId="74A71A1A" w14:textId="2250D965" w:rsidR="00B73BFB" w:rsidRPr="00AF403C" w:rsidRDefault="00B73BFB" w:rsidP="00B73BFB">
            <w:pPr>
              <w:pStyle w:val="Content"/>
            </w:pPr>
          </w:p>
        </w:tc>
        <w:tc>
          <w:tcPr>
            <w:tcW w:w="6480" w:type="dxa"/>
          </w:tcPr>
          <w:p w14:paraId="4A7A4383" w14:textId="77777777" w:rsidR="00BE65E9" w:rsidRPr="00BE65E9" w:rsidRDefault="00BE65E9" w:rsidP="00BE65E9">
            <w:pPr>
              <w:pStyle w:val="Content"/>
            </w:pPr>
            <w:r w:rsidRPr="00BE65E9">
              <w:t xml:space="preserve">The total equipment necessary to predict an emission concentration or emission rate. </w:t>
            </w:r>
          </w:p>
          <w:p w14:paraId="49A14D88" w14:textId="1C38CEAB" w:rsidR="00D224AB" w:rsidRPr="0050445C" w:rsidRDefault="00D224AB" w:rsidP="00BE65E9">
            <w:pPr>
              <w:pStyle w:val="Content"/>
            </w:pPr>
          </w:p>
        </w:tc>
      </w:tr>
      <w:tr w:rsidR="00FC7670" w14:paraId="2C79E351" w14:textId="77777777" w:rsidTr="008C0B34">
        <w:tc>
          <w:tcPr>
            <w:tcW w:w="3685" w:type="dxa"/>
          </w:tcPr>
          <w:p w14:paraId="4869BEDA" w14:textId="77777777" w:rsidR="00FC7670" w:rsidRPr="00AF403C" w:rsidRDefault="00FC7670" w:rsidP="00FC7670">
            <w:pPr>
              <w:pStyle w:val="Content"/>
            </w:pPr>
            <w:r w:rsidRPr="00AF403C">
              <w:t>Quality Assurance (QA)</w:t>
            </w:r>
          </w:p>
          <w:p w14:paraId="77178FD2" w14:textId="117B75FA" w:rsidR="00B73BFB" w:rsidRPr="00AF403C" w:rsidRDefault="00B73BFB" w:rsidP="00E214A3">
            <w:pPr>
              <w:pStyle w:val="Content"/>
            </w:pPr>
          </w:p>
        </w:tc>
        <w:tc>
          <w:tcPr>
            <w:tcW w:w="6480" w:type="dxa"/>
          </w:tcPr>
          <w:p w14:paraId="231EEFD6" w14:textId="77777777" w:rsidR="00FB0AF5" w:rsidRPr="00FB0AF5" w:rsidRDefault="00FB0AF5" w:rsidP="00FB0AF5">
            <w:pPr>
              <w:pStyle w:val="Content"/>
            </w:pPr>
            <w:r w:rsidRPr="00FB0AF5">
              <w:t>Quality assurance (QA) procedures are used to evaluate the effectiveness of QC and the quality of data produced by any CEMS that are used for determining compliance with the emission standards on a continuous basis as specified in the applicable regulation.</w:t>
            </w:r>
          </w:p>
          <w:p w14:paraId="5DF57442" w14:textId="7D3631BC" w:rsidR="00FC7670" w:rsidRPr="00A74BF6" w:rsidRDefault="00FC7670" w:rsidP="00FC7670">
            <w:pPr>
              <w:pStyle w:val="Content"/>
              <w:rPr>
                <w:bCs/>
              </w:rPr>
            </w:pPr>
          </w:p>
        </w:tc>
      </w:tr>
      <w:tr w:rsidR="00FC7670" w14:paraId="26D8F55D" w14:textId="77777777" w:rsidTr="008C0B34">
        <w:tc>
          <w:tcPr>
            <w:tcW w:w="3685" w:type="dxa"/>
          </w:tcPr>
          <w:p w14:paraId="34004F21" w14:textId="77777777" w:rsidR="00FC7670" w:rsidRPr="00AF403C" w:rsidRDefault="00FC7670" w:rsidP="00B73BFB">
            <w:pPr>
              <w:pStyle w:val="Content"/>
              <w:tabs>
                <w:tab w:val="left" w:pos="2400"/>
              </w:tabs>
            </w:pPr>
            <w:r w:rsidRPr="00AF403C">
              <w:t>Quality Control (QC)</w:t>
            </w:r>
            <w:r w:rsidR="00B73BFB" w:rsidRPr="00AF403C">
              <w:tab/>
            </w:r>
          </w:p>
          <w:p w14:paraId="1CB72CFF" w14:textId="6A82B901" w:rsidR="00B73BFB" w:rsidRPr="00AF403C" w:rsidRDefault="00B73BFB" w:rsidP="00E214A3">
            <w:pPr>
              <w:pStyle w:val="Content"/>
            </w:pPr>
          </w:p>
        </w:tc>
        <w:tc>
          <w:tcPr>
            <w:tcW w:w="6480" w:type="dxa"/>
          </w:tcPr>
          <w:p w14:paraId="3A45E7C3" w14:textId="6157578D" w:rsidR="00FC7670" w:rsidRPr="00A74BF6" w:rsidRDefault="00FC7670" w:rsidP="00FC7670">
            <w:pPr>
              <w:pStyle w:val="Content"/>
              <w:rPr>
                <w:bCs/>
              </w:rPr>
            </w:pPr>
            <w:r w:rsidRPr="00F14747">
              <w:t>Q</w:t>
            </w:r>
            <w:r>
              <w:t>uality control (QC)</w:t>
            </w:r>
            <w:r w:rsidRPr="00F14747">
              <w:t xml:space="preserve"> is the procedures, policies, and corrective actions necessary to ensure product quality</w:t>
            </w:r>
            <w:r>
              <w:t xml:space="preserve">. </w:t>
            </w:r>
          </w:p>
        </w:tc>
      </w:tr>
      <w:tr w:rsidR="00FC7670" w14:paraId="5DB9E851" w14:textId="77777777" w:rsidTr="008C0B34">
        <w:tc>
          <w:tcPr>
            <w:tcW w:w="3685" w:type="dxa"/>
          </w:tcPr>
          <w:p w14:paraId="07820CE7" w14:textId="2E209C05" w:rsidR="00FC7670" w:rsidRDefault="00FC7670" w:rsidP="00FC7670">
            <w:pPr>
              <w:pStyle w:val="Heading4"/>
              <w:outlineLvl w:val="3"/>
            </w:pPr>
          </w:p>
        </w:tc>
        <w:tc>
          <w:tcPr>
            <w:tcW w:w="6480" w:type="dxa"/>
          </w:tcPr>
          <w:p w14:paraId="2335B051" w14:textId="77777777" w:rsidR="00FC7670" w:rsidRPr="00A74BF6" w:rsidRDefault="00FC7670" w:rsidP="00FC7670">
            <w:pPr>
              <w:pStyle w:val="Content"/>
              <w:rPr>
                <w:bCs/>
              </w:rPr>
            </w:pPr>
          </w:p>
        </w:tc>
      </w:tr>
      <w:tr w:rsidR="000371A9" w14:paraId="3BD827A6" w14:textId="77777777" w:rsidTr="008C0B34">
        <w:tc>
          <w:tcPr>
            <w:tcW w:w="3685" w:type="dxa"/>
          </w:tcPr>
          <w:p w14:paraId="59222FC4" w14:textId="77777777" w:rsidR="000371A9" w:rsidRDefault="000371A9" w:rsidP="000371A9">
            <w:pPr>
              <w:pStyle w:val="Content"/>
            </w:pPr>
            <w:r w:rsidRPr="00367C64">
              <w:t>Relative Accuracy (RA)</w:t>
            </w:r>
          </w:p>
          <w:p w14:paraId="21A7F6BC" w14:textId="12B0AB18" w:rsidR="00FB0AF5" w:rsidRDefault="00FB0AF5" w:rsidP="00FB0AF5">
            <w:pPr>
              <w:pStyle w:val="Content"/>
            </w:pPr>
          </w:p>
          <w:p w14:paraId="151AC252" w14:textId="602DD3C6" w:rsidR="00B73BFB" w:rsidRPr="00BF5515" w:rsidRDefault="00B73BFB" w:rsidP="000371A9">
            <w:pPr>
              <w:pStyle w:val="Content"/>
            </w:pPr>
          </w:p>
        </w:tc>
        <w:tc>
          <w:tcPr>
            <w:tcW w:w="6480" w:type="dxa"/>
          </w:tcPr>
          <w:p w14:paraId="3C373826" w14:textId="05586F96" w:rsidR="000371A9" w:rsidRDefault="000371A9" w:rsidP="000371A9">
            <w:pPr>
              <w:pStyle w:val="Content"/>
            </w:pPr>
            <w:r>
              <w:t>A</w:t>
            </w:r>
            <w:r w:rsidR="59F0FF60">
              <w:t xml:space="preserve"> measure of the accuracy of a facility’s CMS when compared to a series of </w:t>
            </w:r>
            <w:r w:rsidR="49360311">
              <w:t xml:space="preserve">simultaneous </w:t>
            </w:r>
            <w:r w:rsidR="59F0FF60">
              <w:t xml:space="preserve">measurements made by a </w:t>
            </w:r>
            <w:r w:rsidR="005933C4">
              <w:t>r</w:t>
            </w:r>
            <w:r w:rsidR="59F0FF60">
              <w:t xml:space="preserve">eference </w:t>
            </w:r>
            <w:r w:rsidR="005933C4">
              <w:t>m</w:t>
            </w:r>
            <w:r w:rsidR="59F0FF60">
              <w:t xml:space="preserve">ethod </w:t>
            </w:r>
            <w:r w:rsidR="1C57B742">
              <w:t>measurement system</w:t>
            </w:r>
            <w:r w:rsidR="05D22329">
              <w:t>.</w:t>
            </w:r>
          </w:p>
          <w:p w14:paraId="3E9D83DA" w14:textId="60F1EDA8" w:rsidR="005E3525" w:rsidRPr="00BF5515" w:rsidRDefault="005E3525" w:rsidP="000371A9">
            <w:pPr>
              <w:pStyle w:val="Content"/>
            </w:pPr>
          </w:p>
        </w:tc>
      </w:tr>
      <w:tr w:rsidR="001A4383" w14:paraId="6C0613D4" w14:textId="77777777" w:rsidTr="008C0B34">
        <w:tc>
          <w:tcPr>
            <w:tcW w:w="3685" w:type="dxa"/>
          </w:tcPr>
          <w:p w14:paraId="7C92F340" w14:textId="77777777" w:rsidR="001A4383" w:rsidRPr="000976FE" w:rsidRDefault="001A4383" w:rsidP="001A4383">
            <w:pPr>
              <w:pStyle w:val="Content"/>
            </w:pPr>
            <w:r w:rsidRPr="000976FE">
              <w:t>Relative Accuracy Audit (RAA)</w:t>
            </w:r>
          </w:p>
          <w:p w14:paraId="3C5EF539" w14:textId="0F9C5C70" w:rsidR="00B73BFB" w:rsidRPr="000976FE" w:rsidRDefault="00B73BFB" w:rsidP="00E214A3">
            <w:pPr>
              <w:pStyle w:val="Content"/>
            </w:pPr>
          </w:p>
        </w:tc>
        <w:tc>
          <w:tcPr>
            <w:tcW w:w="6480" w:type="dxa"/>
          </w:tcPr>
          <w:p w14:paraId="03233A8B" w14:textId="77777777" w:rsidR="001A4383" w:rsidRDefault="001A4383" w:rsidP="001A4383">
            <w:pPr>
              <w:pStyle w:val="Content"/>
            </w:pPr>
            <w:r>
              <w:t>A</w:t>
            </w:r>
            <w:r w:rsidRPr="00646E34">
              <w:t xml:space="preserve">n alternative </w:t>
            </w:r>
            <w:r w:rsidRPr="00646E34">
              <w:rPr>
                <w:b/>
                <w:bCs/>
              </w:rPr>
              <w:t>quarterly</w:t>
            </w:r>
            <w:r w:rsidRPr="00646E34">
              <w:t xml:space="preserve"> audit procedure </w:t>
            </w:r>
            <w:r w:rsidR="00FB0AF5">
              <w:t>which correlates</w:t>
            </w:r>
            <w:r w:rsidRPr="00646E34">
              <w:t xml:space="preserve"> the CEMS data to simultaneously collected reference method </w:t>
            </w:r>
            <w:r w:rsidR="00FB0AF5">
              <w:t xml:space="preserve">(RM) </w:t>
            </w:r>
            <w:r w:rsidRPr="00646E34">
              <w:t>data.</w:t>
            </w:r>
          </w:p>
          <w:p w14:paraId="21F26B2B" w14:textId="2D71D5C9" w:rsidR="005E3525" w:rsidRPr="00BF5515" w:rsidRDefault="005E3525" w:rsidP="001A4383">
            <w:pPr>
              <w:pStyle w:val="Content"/>
            </w:pPr>
          </w:p>
        </w:tc>
      </w:tr>
      <w:tr w:rsidR="001A4383" w14:paraId="1679D444" w14:textId="77777777" w:rsidTr="008C0B34">
        <w:tc>
          <w:tcPr>
            <w:tcW w:w="3685" w:type="dxa"/>
          </w:tcPr>
          <w:p w14:paraId="7DE099F1" w14:textId="77777777" w:rsidR="00B73BFB" w:rsidRPr="000976FE" w:rsidRDefault="001A4383" w:rsidP="001A4383">
            <w:pPr>
              <w:pStyle w:val="Content"/>
            </w:pPr>
            <w:r w:rsidRPr="000976FE">
              <w:t xml:space="preserve">Relative Accuracy Test Audit </w:t>
            </w:r>
          </w:p>
          <w:p w14:paraId="43FC13A8" w14:textId="77777777" w:rsidR="001A4383" w:rsidRPr="000976FE" w:rsidRDefault="001A4383" w:rsidP="001A4383">
            <w:pPr>
              <w:pStyle w:val="Content"/>
            </w:pPr>
            <w:r w:rsidRPr="000976FE">
              <w:t>(RATA)</w:t>
            </w:r>
          </w:p>
          <w:p w14:paraId="7843A443" w14:textId="645FA2F9" w:rsidR="00B73BFB" w:rsidRPr="000976FE" w:rsidRDefault="00B73BFB" w:rsidP="00E214A3">
            <w:pPr>
              <w:pStyle w:val="Content"/>
            </w:pPr>
          </w:p>
        </w:tc>
        <w:tc>
          <w:tcPr>
            <w:tcW w:w="6480" w:type="dxa"/>
          </w:tcPr>
          <w:p w14:paraId="2E18A051" w14:textId="2068A79D" w:rsidR="001A4383" w:rsidRDefault="001A4383" w:rsidP="001A4383">
            <w:pPr>
              <w:pStyle w:val="Content"/>
            </w:pPr>
            <w:r>
              <w:t>T</w:t>
            </w:r>
            <w:r w:rsidRPr="00923AC0">
              <w:t xml:space="preserve">he </w:t>
            </w:r>
            <w:r w:rsidRPr="00070839">
              <w:rPr>
                <w:b/>
                <w:bCs/>
              </w:rPr>
              <w:t xml:space="preserve">annual </w:t>
            </w:r>
            <w:r w:rsidRPr="00923AC0">
              <w:t xml:space="preserve">comparative evaluation of the CEMS performance </w:t>
            </w:r>
            <w:r w:rsidR="00D16912">
              <w:t>using a RM. Consists of 9 or more RM test runs</w:t>
            </w:r>
            <w:r w:rsidR="2BB1B138">
              <w:t>, ea</w:t>
            </w:r>
            <w:r w:rsidR="69DF28D6">
              <w:t>c</w:t>
            </w:r>
            <w:r w:rsidR="2BB1B138">
              <w:t xml:space="preserve">h run being </w:t>
            </w:r>
            <w:r w:rsidR="00D16912">
              <w:t xml:space="preserve"> </w:t>
            </w:r>
            <w:r w:rsidR="49CA45B2">
              <w:t xml:space="preserve"> at least </w:t>
            </w:r>
            <w:r w:rsidR="00D16912">
              <w:t>21</w:t>
            </w:r>
            <w:r w:rsidR="005933C4">
              <w:t xml:space="preserve"> </w:t>
            </w:r>
            <w:r w:rsidR="00D16912">
              <w:t>minutes in duration.</w:t>
            </w:r>
            <w:r>
              <w:t xml:space="preserve"> </w:t>
            </w:r>
          </w:p>
          <w:p w14:paraId="560199E5" w14:textId="798994A6" w:rsidR="005E3525" w:rsidRPr="00BF5515" w:rsidRDefault="005E3525" w:rsidP="001A4383">
            <w:pPr>
              <w:pStyle w:val="Content"/>
            </w:pPr>
          </w:p>
        </w:tc>
      </w:tr>
      <w:tr w:rsidR="001A4383" w14:paraId="070FDBC3" w14:textId="77777777" w:rsidTr="008C0B34">
        <w:tc>
          <w:tcPr>
            <w:tcW w:w="3685" w:type="dxa"/>
          </w:tcPr>
          <w:p w14:paraId="605D4EE3" w14:textId="77777777" w:rsidR="001A4383" w:rsidRPr="000976FE" w:rsidRDefault="001A4383" w:rsidP="001A4383">
            <w:pPr>
              <w:pStyle w:val="Content"/>
            </w:pPr>
            <w:r w:rsidRPr="000976FE">
              <w:t>Sample Interface</w:t>
            </w:r>
          </w:p>
          <w:p w14:paraId="0D25593F" w14:textId="52068D08" w:rsidR="00B73BFB" w:rsidRPr="000976FE" w:rsidRDefault="00B73BFB" w:rsidP="00E214A3">
            <w:pPr>
              <w:pStyle w:val="Content"/>
            </w:pPr>
          </w:p>
        </w:tc>
        <w:tc>
          <w:tcPr>
            <w:tcW w:w="6480" w:type="dxa"/>
          </w:tcPr>
          <w:p w14:paraId="3F329D8B" w14:textId="1D5970D8" w:rsidR="00D717B5" w:rsidRPr="00D717B5" w:rsidRDefault="00D717B5" w:rsidP="00D717B5">
            <w:pPr>
              <w:pStyle w:val="Content"/>
            </w:pPr>
            <w:r w:rsidRPr="00D717B5">
              <w:t>The portion of the system that is used for one or more of the following:</w:t>
            </w:r>
            <w:r>
              <w:t xml:space="preserve"> </w:t>
            </w:r>
            <w:r w:rsidRPr="00D717B5">
              <w:t>sample acquisition, sample transportation, </w:t>
            </w:r>
          </w:p>
          <w:p w14:paraId="63AAFF5D" w14:textId="77777777" w:rsidR="001A4383" w:rsidRDefault="00D717B5" w:rsidP="00D717B5">
            <w:pPr>
              <w:pStyle w:val="Content"/>
              <w:rPr>
                <w:bCs/>
                <w:szCs w:val="24"/>
              </w:rPr>
            </w:pPr>
            <w:r w:rsidRPr="00D717B5">
              <w:lastRenderedPageBreak/>
              <w:t>sample conditioning, or </w:t>
            </w:r>
            <w:r w:rsidRPr="00D717B5">
              <w:rPr>
                <w:bCs/>
                <w:szCs w:val="24"/>
              </w:rPr>
              <w:t>protection of the analyzer from the effects of the stack effluent.</w:t>
            </w:r>
          </w:p>
          <w:p w14:paraId="6CDD764A" w14:textId="01CAFF26" w:rsidR="005E3525" w:rsidRPr="00A74BF6" w:rsidRDefault="005E3525" w:rsidP="00D717B5">
            <w:pPr>
              <w:pStyle w:val="Content"/>
              <w:rPr>
                <w:bCs/>
              </w:rPr>
            </w:pPr>
          </w:p>
        </w:tc>
      </w:tr>
      <w:tr w:rsidR="0005325F" w14:paraId="05079A5E" w14:textId="77777777" w:rsidTr="008C0B34">
        <w:tc>
          <w:tcPr>
            <w:tcW w:w="3685" w:type="dxa"/>
          </w:tcPr>
          <w:p w14:paraId="68C2174E" w14:textId="77777777" w:rsidR="0005325F" w:rsidRDefault="0005325F" w:rsidP="0005325F">
            <w:pPr>
              <w:pStyle w:val="Content"/>
            </w:pPr>
            <w:r w:rsidRPr="00367C64">
              <w:lastRenderedPageBreak/>
              <w:t>Source-level Extractive System</w:t>
            </w:r>
          </w:p>
          <w:p w14:paraId="7904EB04" w14:textId="1EA0826D" w:rsidR="00B73BFB" w:rsidRDefault="00B73BFB" w:rsidP="00B73BFB">
            <w:pPr>
              <w:pStyle w:val="Content"/>
            </w:pPr>
          </w:p>
          <w:p w14:paraId="78349BA9" w14:textId="7B939B84" w:rsidR="00B73BFB" w:rsidRDefault="00B73BFB" w:rsidP="0005325F">
            <w:pPr>
              <w:pStyle w:val="Content"/>
            </w:pPr>
          </w:p>
        </w:tc>
        <w:tc>
          <w:tcPr>
            <w:tcW w:w="6480" w:type="dxa"/>
          </w:tcPr>
          <w:p w14:paraId="2F38136C" w14:textId="77777777" w:rsidR="0005325F" w:rsidRDefault="0005325F" w:rsidP="0005325F">
            <w:pPr>
              <w:pStyle w:val="Content"/>
            </w:pPr>
            <w:r w:rsidRPr="00810875">
              <w:t>The stack gas sample is withdrawn from the stack</w:t>
            </w:r>
            <w:r w:rsidR="08C31FC2">
              <w:t xml:space="preserve"> </w:t>
            </w:r>
            <w:r w:rsidR="5584D96E">
              <w:t>without conditioning or modification of the sample</w:t>
            </w:r>
            <w:r w:rsidR="6DA0BD95">
              <w:t xml:space="preserve">, </w:t>
            </w:r>
            <w:r w:rsidR="7E04E3D3">
              <w:t xml:space="preserve">other than coarse </w:t>
            </w:r>
            <w:r w:rsidR="6DA0BD95">
              <w:t>particulate removal,</w:t>
            </w:r>
            <w:r w:rsidR="5584D96E">
              <w:t xml:space="preserve"> until i</w:t>
            </w:r>
            <w:r w:rsidR="73FC3093">
              <w:t xml:space="preserve">t reaches </w:t>
            </w:r>
            <w:r w:rsidR="551D0F98">
              <w:t>t</w:t>
            </w:r>
            <w:r w:rsidR="15EEC1C7">
              <w:t>he</w:t>
            </w:r>
            <w:r w:rsidR="551D0F98">
              <w:t xml:space="preserve"> measurement </w:t>
            </w:r>
            <w:r w:rsidR="04D22DF1">
              <w:t>system</w:t>
            </w:r>
            <w:r w:rsidR="27289BC6">
              <w:t>, where the sample is conditioned</w:t>
            </w:r>
            <w:r w:rsidRPr="00A2322C">
              <w:t xml:space="preserve"> to remove any moisture and remaining fine particulate to prevent damage to the gas concentration analyzers</w:t>
            </w:r>
            <w:r>
              <w:t>.</w:t>
            </w:r>
            <w:r w:rsidR="4270DDF2">
              <w:t xml:space="preserve"> The sample line is heated to maintain the sample at stack gas temperature to prevent condensation that might scrub water-soluble </w:t>
            </w:r>
            <w:r w:rsidR="3E7184DA">
              <w:t>pollutants</w:t>
            </w:r>
            <w:r w:rsidR="6C395A62">
              <w:t xml:space="preserve"> an</w:t>
            </w:r>
            <w:r w:rsidR="553B47CD">
              <w:t>d</w:t>
            </w:r>
            <w:r w:rsidR="6C395A62">
              <w:t xml:space="preserve"> to prevent freezing in cold winter climates.</w:t>
            </w:r>
            <w:r w:rsidR="4270DDF2">
              <w:t xml:space="preserve"> </w:t>
            </w:r>
          </w:p>
          <w:p w14:paraId="1544A200" w14:textId="32137339" w:rsidR="005E3525" w:rsidRDefault="005E3525" w:rsidP="0005325F">
            <w:pPr>
              <w:pStyle w:val="Content"/>
            </w:pPr>
          </w:p>
        </w:tc>
      </w:tr>
      <w:tr w:rsidR="0005325F" w14:paraId="729489B3" w14:textId="77777777" w:rsidTr="008C0B34">
        <w:tc>
          <w:tcPr>
            <w:tcW w:w="3685" w:type="dxa"/>
          </w:tcPr>
          <w:p w14:paraId="0C209ECB" w14:textId="77777777" w:rsidR="0005325F" w:rsidRDefault="0005325F" w:rsidP="0005325F">
            <w:pPr>
              <w:pStyle w:val="Content"/>
            </w:pPr>
            <w:r>
              <w:t>System/Field Audit</w:t>
            </w:r>
          </w:p>
          <w:p w14:paraId="75F74340" w14:textId="17CF70A1" w:rsidR="00B73BFB" w:rsidRDefault="00B73BFB" w:rsidP="00E214A3">
            <w:pPr>
              <w:pStyle w:val="Content"/>
            </w:pPr>
          </w:p>
        </w:tc>
        <w:tc>
          <w:tcPr>
            <w:tcW w:w="6480" w:type="dxa"/>
          </w:tcPr>
          <w:p w14:paraId="29DBDC06" w14:textId="4F951DFE" w:rsidR="0005325F" w:rsidRPr="008A2BC2" w:rsidRDefault="0005325F" w:rsidP="0005325F">
            <w:pPr>
              <w:pStyle w:val="Content"/>
            </w:pPr>
            <w:r>
              <w:t>A q</w:t>
            </w:r>
            <w:r w:rsidRPr="00685E8F">
              <w:t>ualitative evaluation involving an inspection</w:t>
            </w:r>
            <w:r>
              <w:t xml:space="preserve">. </w:t>
            </w:r>
            <w:r w:rsidRPr="00456A9F">
              <w:t>System or field audits are an opportunity to provide information to the source on the regulatory requirements, and for the inspector to observe monitoring practices that may lead to regulatory problems</w:t>
            </w:r>
            <w:r>
              <w:t>.</w:t>
            </w:r>
          </w:p>
        </w:tc>
      </w:tr>
      <w:tr w:rsidR="0005325F" w14:paraId="025F898B" w14:textId="77777777" w:rsidTr="008C0B34">
        <w:tc>
          <w:tcPr>
            <w:tcW w:w="3685" w:type="dxa"/>
          </w:tcPr>
          <w:p w14:paraId="761BE1C7" w14:textId="21E69777" w:rsidR="0005325F" w:rsidRDefault="0005325F" w:rsidP="0005325F">
            <w:pPr>
              <w:pStyle w:val="Heading4"/>
              <w:outlineLvl w:val="3"/>
            </w:pPr>
          </w:p>
        </w:tc>
        <w:tc>
          <w:tcPr>
            <w:tcW w:w="6480" w:type="dxa"/>
          </w:tcPr>
          <w:p w14:paraId="26B17EF0" w14:textId="77777777" w:rsidR="0005325F" w:rsidRPr="00A74BF6" w:rsidRDefault="0005325F" w:rsidP="0005325F">
            <w:pPr>
              <w:pStyle w:val="Content"/>
              <w:rPr>
                <w:bCs/>
              </w:rPr>
            </w:pPr>
          </w:p>
        </w:tc>
      </w:tr>
      <w:tr w:rsidR="0005325F" w14:paraId="01E4C72F" w14:textId="77777777" w:rsidTr="008C0B34">
        <w:tc>
          <w:tcPr>
            <w:tcW w:w="3685" w:type="dxa"/>
          </w:tcPr>
          <w:p w14:paraId="37B37F01" w14:textId="77777777" w:rsidR="0005325F" w:rsidRPr="00367C64" w:rsidRDefault="0005325F" w:rsidP="0005325F">
            <w:pPr>
              <w:pStyle w:val="Content"/>
            </w:pPr>
            <w:r w:rsidRPr="00367C64">
              <w:t>Transmissometry</w:t>
            </w:r>
          </w:p>
          <w:p w14:paraId="222C2A3F" w14:textId="41280779" w:rsidR="00B73BFB" w:rsidRPr="00367C64" w:rsidRDefault="00B73BFB" w:rsidP="00E214A3">
            <w:pPr>
              <w:pStyle w:val="Content"/>
            </w:pPr>
          </w:p>
        </w:tc>
        <w:tc>
          <w:tcPr>
            <w:tcW w:w="6480" w:type="dxa"/>
          </w:tcPr>
          <w:p w14:paraId="7B3B8CC5" w14:textId="77777777" w:rsidR="0005325F" w:rsidRDefault="0005325F" w:rsidP="0005325F">
            <w:pPr>
              <w:pStyle w:val="Content"/>
            </w:pPr>
            <w:r>
              <w:t>T</w:t>
            </w:r>
            <w:r w:rsidRPr="003A162C">
              <w:t>he measurement of the amount of light that can be transmitted through a stack exhaust</w:t>
            </w:r>
            <w:r>
              <w:t>.</w:t>
            </w:r>
          </w:p>
          <w:p w14:paraId="135D6B29" w14:textId="458ADC8B" w:rsidR="005E3525" w:rsidRPr="00FC3EBE" w:rsidRDefault="005E3525" w:rsidP="0005325F">
            <w:pPr>
              <w:pStyle w:val="Content"/>
            </w:pPr>
          </w:p>
        </w:tc>
      </w:tr>
      <w:tr w:rsidR="0005325F" w14:paraId="1A2C4B1F" w14:textId="77777777" w:rsidTr="008C0B34">
        <w:tc>
          <w:tcPr>
            <w:tcW w:w="3685" w:type="dxa"/>
          </w:tcPr>
          <w:p w14:paraId="0121A893" w14:textId="77777777" w:rsidR="0005325F" w:rsidRPr="00367C64" w:rsidRDefault="0005325F" w:rsidP="0005325F">
            <w:pPr>
              <w:pStyle w:val="Content"/>
            </w:pPr>
            <w:r w:rsidRPr="00367C64">
              <w:t>Transmittance (Tr)</w:t>
            </w:r>
          </w:p>
          <w:p w14:paraId="1E41F623" w14:textId="5DE6FA6A" w:rsidR="00B73BFB" w:rsidRPr="00367C64" w:rsidRDefault="00B73BFB" w:rsidP="00E214A3">
            <w:pPr>
              <w:pStyle w:val="Content"/>
            </w:pPr>
          </w:p>
        </w:tc>
        <w:tc>
          <w:tcPr>
            <w:tcW w:w="6480" w:type="dxa"/>
          </w:tcPr>
          <w:p w14:paraId="2B0434BC" w14:textId="77777777" w:rsidR="0005325F" w:rsidRDefault="0005325F" w:rsidP="0005325F">
            <w:pPr>
              <w:pStyle w:val="Content"/>
            </w:pPr>
            <w:r w:rsidRPr="00FC3EBE">
              <w:t>The percentage of light that is transmitted through an optical medium.</w:t>
            </w:r>
          </w:p>
          <w:p w14:paraId="638C5881" w14:textId="77777777" w:rsidR="0005325F" w:rsidRPr="00A74BF6" w:rsidRDefault="0005325F" w:rsidP="0005325F">
            <w:pPr>
              <w:pStyle w:val="Content"/>
              <w:rPr>
                <w:bCs/>
              </w:rPr>
            </w:pPr>
          </w:p>
        </w:tc>
      </w:tr>
      <w:tr w:rsidR="0005325F" w14:paraId="3828FF6D" w14:textId="77777777" w:rsidTr="008C0B34">
        <w:tc>
          <w:tcPr>
            <w:tcW w:w="3685" w:type="dxa"/>
          </w:tcPr>
          <w:p w14:paraId="230EE634" w14:textId="77777777" w:rsidR="0005325F" w:rsidRDefault="0005325F" w:rsidP="0005325F">
            <w:pPr>
              <w:pStyle w:val="Content"/>
            </w:pPr>
            <w:r w:rsidRPr="00367C64">
              <w:t>Ultrasonic Flowmeter</w:t>
            </w:r>
          </w:p>
          <w:p w14:paraId="717E1343" w14:textId="5E7E0190" w:rsidR="00B73BFB" w:rsidRDefault="00B73BFB" w:rsidP="00E214A3">
            <w:pPr>
              <w:pStyle w:val="Content"/>
            </w:pPr>
          </w:p>
        </w:tc>
        <w:tc>
          <w:tcPr>
            <w:tcW w:w="6480" w:type="dxa"/>
          </w:tcPr>
          <w:p w14:paraId="0CB5DE97" w14:textId="796626E5" w:rsidR="0005325F" w:rsidRPr="00A74BF6" w:rsidRDefault="0005325F" w:rsidP="0005325F">
            <w:pPr>
              <w:pStyle w:val="Content"/>
              <w:rPr>
                <w:bCs/>
              </w:rPr>
            </w:pPr>
            <w:r>
              <w:t>U</w:t>
            </w:r>
            <w:r w:rsidRPr="00B61C06">
              <w:t>ses a pair of transmitter/receivers mounted on opposite side of the stack, with one upstream from the other. The signal is alternated between them, sending it in the direction of stack gas flow, where it is speeded up, and then against the direction of flow, where it is slowed down.  The difference in the time between the two signals is proportional to the stack gas velocity.</w:t>
            </w:r>
          </w:p>
        </w:tc>
      </w:tr>
    </w:tbl>
    <w:p w14:paraId="0519E7B5" w14:textId="2D32BEAD" w:rsidR="00481214" w:rsidRPr="00BA377F" w:rsidRDefault="00481214" w:rsidP="002D2B06">
      <w:pPr>
        <w:rPr>
          <w14:textOutline w14:w="9525" w14:cap="rnd" w14:cmpd="sng" w14:algn="ctr">
            <w14:noFill/>
            <w14:prstDash w14:val="solid"/>
            <w14:bevel/>
          </w14:textOutline>
        </w:rPr>
      </w:pPr>
    </w:p>
    <w:sectPr w:rsidR="00481214" w:rsidRPr="00BA377F" w:rsidSect="000D7417">
      <w:headerReference w:type="even" r:id="rId12"/>
      <w:headerReference w:type="default" r:id="rId13"/>
      <w:footerReference w:type="even" r:id="rId14"/>
      <w:footerReference w:type="default" r:id="rId15"/>
      <w:headerReference w:type="first" r:id="rId16"/>
      <w:footerReference w:type="first" r:id="rId17"/>
      <w:pgSz w:w="12240" w:h="15840"/>
      <w:pgMar w:top="1530" w:right="1152" w:bottom="1890" w:left="1152" w:header="864" w:footer="785"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66C9" w14:textId="77777777" w:rsidR="0037266E" w:rsidRDefault="0037266E">
      <w:r>
        <w:separator/>
      </w:r>
    </w:p>
    <w:p w14:paraId="42BDE644" w14:textId="77777777" w:rsidR="0037266E" w:rsidRDefault="0037266E"/>
  </w:endnote>
  <w:endnote w:type="continuationSeparator" w:id="0">
    <w:p w14:paraId="10966D2C" w14:textId="77777777" w:rsidR="0037266E" w:rsidRDefault="0037266E">
      <w:r>
        <w:continuationSeparator/>
      </w:r>
    </w:p>
    <w:p w14:paraId="75E6F5B1" w14:textId="77777777" w:rsidR="0037266E" w:rsidRDefault="0037266E"/>
  </w:endnote>
  <w:endnote w:type="continuationNotice" w:id="1">
    <w:p w14:paraId="34162E60" w14:textId="77777777" w:rsidR="0037266E" w:rsidRDefault="00372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4C63" w14:textId="77777777" w:rsidR="00F15C5D" w:rsidRDefault="00F15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977412"/>
      <w:docPartObj>
        <w:docPartGallery w:val="Page Numbers (Bottom of Page)"/>
        <w:docPartUnique/>
      </w:docPartObj>
    </w:sdtPr>
    <w:sdtEndPr/>
    <w:sdtContent>
      <w:p w14:paraId="238D3BA8" w14:textId="5D66332E" w:rsidR="00A71BC6" w:rsidRDefault="00A71BC6">
        <w:pPr>
          <w:pStyle w:val="Footer"/>
        </w:pPr>
        <w:r>
          <w:rPr>
            <w:noProof/>
          </w:rPr>
          <mc:AlternateContent>
            <mc:Choice Requires="wps">
              <w:drawing>
                <wp:inline distT="0" distB="0" distL="0" distR="0" wp14:anchorId="592426FB" wp14:editId="6D9989BC">
                  <wp:extent cx="1667933" cy="1191260"/>
                  <wp:effectExtent l="0" t="0" r="8890" b="0"/>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67933" cy="1191260"/>
                          </a:xfrm>
                          <a:prstGeom prst="triangle">
                            <a:avLst>
                              <a:gd name="adj" fmla="val 10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80C03" w14:textId="77777777" w:rsidR="00A71BC6" w:rsidRPr="003101C1" w:rsidRDefault="00A71BC6" w:rsidP="005A4B09">
                              <w:pPr>
                                <w:jc w:val="center"/>
                                <w:rPr>
                                  <w:sz w:val="20"/>
                                  <w:szCs w:val="48"/>
                                </w:rPr>
                              </w:pPr>
                              <w:r w:rsidRPr="003101C1">
                                <w:rPr>
                                  <w:rFonts w:cs="Times New Roman"/>
                                  <w:color w:val="auto"/>
                                  <w:sz w:val="16"/>
                                  <w:szCs w:val="16"/>
                                </w:rPr>
                                <w:fldChar w:fldCharType="begin"/>
                              </w:r>
                              <w:r w:rsidRPr="003101C1">
                                <w:rPr>
                                  <w:sz w:val="20"/>
                                  <w:szCs w:val="16"/>
                                </w:rPr>
                                <w:instrText xml:space="preserve"> PAGE    \* MERGEFORMAT </w:instrText>
                              </w:r>
                              <w:r w:rsidRPr="003101C1">
                                <w:rPr>
                                  <w:rFonts w:cs="Times New Roman"/>
                                  <w:color w:val="auto"/>
                                  <w:sz w:val="16"/>
                                  <w:szCs w:val="16"/>
                                </w:rPr>
                                <w:fldChar w:fldCharType="separate"/>
                              </w:r>
                              <w:r w:rsidRPr="003101C1">
                                <w:rPr>
                                  <w:rFonts w:asciiTheme="majorHAnsi" w:eastAsiaTheme="majorEastAsia" w:hAnsiTheme="majorHAnsi" w:cstheme="majorBidi"/>
                                  <w:noProof/>
                                  <w:color w:val="FFFFFF" w:themeColor="background1"/>
                                  <w:sz w:val="48"/>
                                  <w:szCs w:val="48"/>
                                </w:rPr>
                                <w:t>2</w:t>
                              </w:r>
                              <w:r w:rsidRPr="003101C1">
                                <w:rPr>
                                  <w:rFonts w:asciiTheme="majorHAnsi" w:eastAsiaTheme="majorEastAsia" w:hAnsiTheme="majorHAnsi" w:cstheme="majorBidi"/>
                                  <w:noProof/>
                                  <w:color w:val="FFFFFF" w:themeColor="background1"/>
                                  <w:sz w:val="48"/>
                                  <w:szCs w:val="48"/>
                                </w:rPr>
                                <w:fldChar w:fldCharType="end"/>
                              </w:r>
                            </w:p>
                          </w:txbxContent>
                        </wps:txbx>
                        <wps:bodyPr rot="0" vert="horz" wrap="square" lIns="91440" tIns="45720" rIns="91440" bIns="45720" anchor="t" anchorCtr="0" upright="1">
                          <a:noAutofit/>
                        </wps:bodyPr>
                      </wps:wsp>
                    </a:graphicData>
                  </a:graphic>
                </wp:inline>
              </w:drawing>
            </mc:Choice>
            <mc:Fallback>
              <w:pict>
                <v:shapetype w14:anchorId="592426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31.35pt;height:93.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" adj="21600" fillcolor="#082a75 [3215]" stroked="f" strokeweight="2pt">
                  <v:textbox>
                    <w:txbxContent>
                      <w:p w14:paraId="7A280C03" w14:textId="77777777" w:rsidR="00A71BC6" w:rsidRPr="003101C1" w:rsidRDefault="00A71BC6" w:rsidP="005A4B09">
                        <w:pPr>
                          <w:jc w:val="center"/>
                          <w:rPr>
                            <w:sz w:val="20"/>
                            <w:szCs w:val="48"/>
                          </w:rPr>
                        </w:pPr>
                        <w:r w:rsidRPr="003101C1">
                          <w:rPr>
                            <w:rFonts w:cs="Times New Roman"/>
                            <w:color w:val="auto"/>
                            <w:sz w:val="16"/>
                            <w:szCs w:val="16"/>
                          </w:rPr>
                          <w:fldChar w:fldCharType="begin"/>
                        </w:r>
                        <w:r w:rsidRPr="003101C1">
                          <w:rPr>
                            <w:sz w:val="20"/>
                            <w:szCs w:val="16"/>
                          </w:rPr>
                          <w:instrText xml:space="preserve"> PAGE    \* MERGEFORMAT </w:instrText>
                        </w:r>
                        <w:r w:rsidRPr="003101C1">
                          <w:rPr>
                            <w:rFonts w:cs="Times New Roman"/>
                            <w:color w:val="auto"/>
                            <w:sz w:val="16"/>
                            <w:szCs w:val="16"/>
                          </w:rPr>
                          <w:fldChar w:fldCharType="separate"/>
                        </w:r>
                        <w:r w:rsidRPr="003101C1">
                          <w:rPr>
                            <w:rFonts w:asciiTheme="majorHAnsi" w:eastAsiaTheme="majorEastAsia" w:hAnsiTheme="majorHAnsi" w:cstheme="majorBidi"/>
                            <w:noProof/>
                            <w:color w:val="FFFFFF" w:themeColor="background1"/>
                            <w:sz w:val="48"/>
                            <w:szCs w:val="48"/>
                          </w:rPr>
                          <w:t>2</w:t>
                        </w:r>
                        <w:r w:rsidRPr="003101C1">
                          <w:rPr>
                            <w:rFonts w:asciiTheme="majorHAnsi" w:eastAsiaTheme="majorEastAsia" w:hAnsiTheme="majorHAnsi" w:cstheme="majorBidi"/>
                            <w:noProof/>
                            <w:color w:val="FFFFFF" w:themeColor="background1"/>
                            <w:sz w:val="48"/>
                            <w:szCs w:val="48"/>
                          </w:rPr>
                          <w:fldChar w:fldCharType="end"/>
                        </w:r>
                      </w:p>
                    </w:txbxContent>
                  </v:textbox>
                  <w10:anchorlock/>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7861" w14:textId="77777777" w:rsidR="00F15C5D" w:rsidRDefault="00F1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D8991" w14:textId="77777777" w:rsidR="0037266E" w:rsidRDefault="0037266E">
      <w:r>
        <w:separator/>
      </w:r>
    </w:p>
    <w:p w14:paraId="46A37444" w14:textId="77777777" w:rsidR="0037266E" w:rsidRDefault="0037266E"/>
  </w:footnote>
  <w:footnote w:type="continuationSeparator" w:id="0">
    <w:p w14:paraId="0AD9F47C" w14:textId="77777777" w:rsidR="0037266E" w:rsidRDefault="0037266E">
      <w:r>
        <w:continuationSeparator/>
      </w:r>
    </w:p>
    <w:p w14:paraId="6684F390" w14:textId="77777777" w:rsidR="0037266E" w:rsidRDefault="0037266E"/>
  </w:footnote>
  <w:footnote w:type="continuationNotice" w:id="1">
    <w:p w14:paraId="0AA611D0" w14:textId="77777777" w:rsidR="0037266E" w:rsidRDefault="00372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4AB8" w14:textId="77777777" w:rsidR="00F15C5D" w:rsidRDefault="00F15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6DA1" w14:textId="47CFE8AA" w:rsidR="00A71BC6" w:rsidRDefault="00F15C5D" w:rsidP="007B1A83">
    <w:pPr>
      <w:pStyle w:val="Header"/>
      <w:pBdr>
        <w:bottom w:val="single" w:sz="2" w:space="1" w:color="0F0D29" w:themeColor="text1"/>
      </w:pBdr>
      <w:rPr>
        <w:b w:val="0"/>
        <w:bCs/>
        <w:sz w:val="20"/>
        <w:szCs w:val="16"/>
      </w:rPr>
    </w:pPr>
    <w:r>
      <w:rPr>
        <w:b w:val="0"/>
        <w:bCs/>
        <w:sz w:val="20"/>
        <w:szCs w:val="16"/>
      </w:rPr>
      <w:t xml:space="preserve">INTRODUCTION TO </w:t>
    </w:r>
    <w:r w:rsidR="00A71BC6" w:rsidRPr="00A80250">
      <w:rPr>
        <w:b w:val="0"/>
        <w:bCs/>
        <w:sz w:val="20"/>
        <w:szCs w:val="16"/>
      </w:rPr>
      <w:t>CONTINUOUS MONITORING SYSTEMS</w:t>
    </w:r>
    <w:r w:rsidR="00A71BC6">
      <w:rPr>
        <w:b w:val="0"/>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7737" w14:textId="77777777" w:rsidR="00F15C5D" w:rsidRDefault="00F15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2C62"/>
    <w:multiLevelType w:val="hybridMultilevel"/>
    <w:tmpl w:val="2CD8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150B5"/>
    <w:multiLevelType w:val="hybridMultilevel"/>
    <w:tmpl w:val="2CD8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18E9"/>
    <w:multiLevelType w:val="hybridMultilevel"/>
    <w:tmpl w:val="B9380C78"/>
    <w:lvl w:ilvl="0" w:tplc="B13855DC">
      <w:start w:val="1"/>
      <w:numFmt w:val="bullet"/>
      <w:lvlText w:val="•"/>
      <w:lvlJc w:val="left"/>
      <w:pPr>
        <w:tabs>
          <w:tab w:val="num" w:pos="720"/>
        </w:tabs>
        <w:ind w:left="720" w:hanging="360"/>
      </w:pPr>
      <w:rPr>
        <w:rFonts w:ascii="Arial" w:hAnsi="Arial" w:hint="default"/>
      </w:rPr>
    </w:lvl>
    <w:lvl w:ilvl="1" w:tplc="378E9254" w:tentative="1">
      <w:start w:val="1"/>
      <w:numFmt w:val="bullet"/>
      <w:lvlText w:val="•"/>
      <w:lvlJc w:val="left"/>
      <w:pPr>
        <w:tabs>
          <w:tab w:val="num" w:pos="1440"/>
        </w:tabs>
        <w:ind w:left="1440" w:hanging="360"/>
      </w:pPr>
      <w:rPr>
        <w:rFonts w:ascii="Arial" w:hAnsi="Arial" w:hint="default"/>
      </w:rPr>
    </w:lvl>
    <w:lvl w:ilvl="2" w:tplc="15B4EB7E" w:tentative="1">
      <w:start w:val="1"/>
      <w:numFmt w:val="bullet"/>
      <w:lvlText w:val="•"/>
      <w:lvlJc w:val="left"/>
      <w:pPr>
        <w:tabs>
          <w:tab w:val="num" w:pos="2160"/>
        </w:tabs>
        <w:ind w:left="2160" w:hanging="360"/>
      </w:pPr>
      <w:rPr>
        <w:rFonts w:ascii="Arial" w:hAnsi="Arial" w:hint="default"/>
      </w:rPr>
    </w:lvl>
    <w:lvl w:ilvl="3" w:tplc="F118CAF2" w:tentative="1">
      <w:start w:val="1"/>
      <w:numFmt w:val="bullet"/>
      <w:lvlText w:val="•"/>
      <w:lvlJc w:val="left"/>
      <w:pPr>
        <w:tabs>
          <w:tab w:val="num" w:pos="2880"/>
        </w:tabs>
        <w:ind w:left="2880" w:hanging="360"/>
      </w:pPr>
      <w:rPr>
        <w:rFonts w:ascii="Arial" w:hAnsi="Arial" w:hint="default"/>
      </w:rPr>
    </w:lvl>
    <w:lvl w:ilvl="4" w:tplc="46D847D0" w:tentative="1">
      <w:start w:val="1"/>
      <w:numFmt w:val="bullet"/>
      <w:lvlText w:val="•"/>
      <w:lvlJc w:val="left"/>
      <w:pPr>
        <w:tabs>
          <w:tab w:val="num" w:pos="3600"/>
        </w:tabs>
        <w:ind w:left="3600" w:hanging="360"/>
      </w:pPr>
      <w:rPr>
        <w:rFonts w:ascii="Arial" w:hAnsi="Arial" w:hint="default"/>
      </w:rPr>
    </w:lvl>
    <w:lvl w:ilvl="5" w:tplc="567E8018" w:tentative="1">
      <w:start w:val="1"/>
      <w:numFmt w:val="bullet"/>
      <w:lvlText w:val="•"/>
      <w:lvlJc w:val="left"/>
      <w:pPr>
        <w:tabs>
          <w:tab w:val="num" w:pos="4320"/>
        </w:tabs>
        <w:ind w:left="4320" w:hanging="360"/>
      </w:pPr>
      <w:rPr>
        <w:rFonts w:ascii="Arial" w:hAnsi="Arial" w:hint="default"/>
      </w:rPr>
    </w:lvl>
    <w:lvl w:ilvl="6" w:tplc="A9A834BE" w:tentative="1">
      <w:start w:val="1"/>
      <w:numFmt w:val="bullet"/>
      <w:lvlText w:val="•"/>
      <w:lvlJc w:val="left"/>
      <w:pPr>
        <w:tabs>
          <w:tab w:val="num" w:pos="5040"/>
        </w:tabs>
        <w:ind w:left="5040" w:hanging="360"/>
      </w:pPr>
      <w:rPr>
        <w:rFonts w:ascii="Arial" w:hAnsi="Arial" w:hint="default"/>
      </w:rPr>
    </w:lvl>
    <w:lvl w:ilvl="7" w:tplc="A7FE4FDA" w:tentative="1">
      <w:start w:val="1"/>
      <w:numFmt w:val="bullet"/>
      <w:lvlText w:val="•"/>
      <w:lvlJc w:val="left"/>
      <w:pPr>
        <w:tabs>
          <w:tab w:val="num" w:pos="5760"/>
        </w:tabs>
        <w:ind w:left="5760" w:hanging="360"/>
      </w:pPr>
      <w:rPr>
        <w:rFonts w:ascii="Arial" w:hAnsi="Arial" w:hint="default"/>
      </w:rPr>
    </w:lvl>
    <w:lvl w:ilvl="8" w:tplc="AF748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666233"/>
    <w:multiLevelType w:val="hybridMultilevel"/>
    <w:tmpl w:val="2CD8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C1831"/>
    <w:multiLevelType w:val="hybridMultilevel"/>
    <w:tmpl w:val="C984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257CA"/>
    <w:multiLevelType w:val="hybridMultilevel"/>
    <w:tmpl w:val="7820D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2787B"/>
    <w:multiLevelType w:val="hybridMultilevel"/>
    <w:tmpl w:val="95A2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C48B1"/>
    <w:multiLevelType w:val="hybridMultilevel"/>
    <w:tmpl w:val="E82C9B5C"/>
    <w:lvl w:ilvl="0" w:tplc="8638808E">
      <w:start w:val="1"/>
      <w:numFmt w:val="bullet"/>
      <w:lvlText w:val="•"/>
      <w:lvlJc w:val="left"/>
      <w:pPr>
        <w:tabs>
          <w:tab w:val="num" w:pos="720"/>
        </w:tabs>
        <w:ind w:left="720" w:hanging="360"/>
      </w:pPr>
      <w:rPr>
        <w:rFonts w:ascii="Times New Roman" w:hAnsi="Times New Roman" w:hint="default"/>
      </w:rPr>
    </w:lvl>
    <w:lvl w:ilvl="1" w:tplc="35B01A86" w:tentative="1">
      <w:start w:val="1"/>
      <w:numFmt w:val="bullet"/>
      <w:lvlText w:val="•"/>
      <w:lvlJc w:val="left"/>
      <w:pPr>
        <w:tabs>
          <w:tab w:val="num" w:pos="1440"/>
        </w:tabs>
        <w:ind w:left="1440" w:hanging="360"/>
      </w:pPr>
      <w:rPr>
        <w:rFonts w:ascii="Times New Roman" w:hAnsi="Times New Roman" w:hint="default"/>
      </w:rPr>
    </w:lvl>
    <w:lvl w:ilvl="2" w:tplc="029EB228" w:tentative="1">
      <w:start w:val="1"/>
      <w:numFmt w:val="bullet"/>
      <w:lvlText w:val="•"/>
      <w:lvlJc w:val="left"/>
      <w:pPr>
        <w:tabs>
          <w:tab w:val="num" w:pos="2160"/>
        </w:tabs>
        <w:ind w:left="2160" w:hanging="360"/>
      </w:pPr>
      <w:rPr>
        <w:rFonts w:ascii="Times New Roman" w:hAnsi="Times New Roman" w:hint="default"/>
      </w:rPr>
    </w:lvl>
    <w:lvl w:ilvl="3" w:tplc="2982BE5C" w:tentative="1">
      <w:start w:val="1"/>
      <w:numFmt w:val="bullet"/>
      <w:lvlText w:val="•"/>
      <w:lvlJc w:val="left"/>
      <w:pPr>
        <w:tabs>
          <w:tab w:val="num" w:pos="2880"/>
        </w:tabs>
        <w:ind w:left="2880" w:hanging="360"/>
      </w:pPr>
      <w:rPr>
        <w:rFonts w:ascii="Times New Roman" w:hAnsi="Times New Roman" w:hint="default"/>
      </w:rPr>
    </w:lvl>
    <w:lvl w:ilvl="4" w:tplc="57745B1E" w:tentative="1">
      <w:start w:val="1"/>
      <w:numFmt w:val="bullet"/>
      <w:lvlText w:val="•"/>
      <w:lvlJc w:val="left"/>
      <w:pPr>
        <w:tabs>
          <w:tab w:val="num" w:pos="3600"/>
        </w:tabs>
        <w:ind w:left="3600" w:hanging="360"/>
      </w:pPr>
      <w:rPr>
        <w:rFonts w:ascii="Times New Roman" w:hAnsi="Times New Roman" w:hint="default"/>
      </w:rPr>
    </w:lvl>
    <w:lvl w:ilvl="5" w:tplc="F0547A16" w:tentative="1">
      <w:start w:val="1"/>
      <w:numFmt w:val="bullet"/>
      <w:lvlText w:val="•"/>
      <w:lvlJc w:val="left"/>
      <w:pPr>
        <w:tabs>
          <w:tab w:val="num" w:pos="4320"/>
        </w:tabs>
        <w:ind w:left="4320" w:hanging="360"/>
      </w:pPr>
      <w:rPr>
        <w:rFonts w:ascii="Times New Roman" w:hAnsi="Times New Roman" w:hint="default"/>
      </w:rPr>
    </w:lvl>
    <w:lvl w:ilvl="6" w:tplc="03809386" w:tentative="1">
      <w:start w:val="1"/>
      <w:numFmt w:val="bullet"/>
      <w:lvlText w:val="•"/>
      <w:lvlJc w:val="left"/>
      <w:pPr>
        <w:tabs>
          <w:tab w:val="num" w:pos="5040"/>
        </w:tabs>
        <w:ind w:left="5040" w:hanging="360"/>
      </w:pPr>
      <w:rPr>
        <w:rFonts w:ascii="Times New Roman" w:hAnsi="Times New Roman" w:hint="default"/>
      </w:rPr>
    </w:lvl>
    <w:lvl w:ilvl="7" w:tplc="23B653FE" w:tentative="1">
      <w:start w:val="1"/>
      <w:numFmt w:val="bullet"/>
      <w:lvlText w:val="•"/>
      <w:lvlJc w:val="left"/>
      <w:pPr>
        <w:tabs>
          <w:tab w:val="num" w:pos="5760"/>
        </w:tabs>
        <w:ind w:left="5760" w:hanging="360"/>
      </w:pPr>
      <w:rPr>
        <w:rFonts w:ascii="Times New Roman" w:hAnsi="Times New Roman" w:hint="default"/>
      </w:rPr>
    </w:lvl>
    <w:lvl w:ilvl="8" w:tplc="CF3CE2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E2A744D"/>
    <w:multiLevelType w:val="hybridMultilevel"/>
    <w:tmpl w:val="E00A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3"/>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EE"/>
    <w:rsid w:val="000059E1"/>
    <w:rsid w:val="00017E78"/>
    <w:rsid w:val="0002482E"/>
    <w:rsid w:val="0002551B"/>
    <w:rsid w:val="00032EAB"/>
    <w:rsid w:val="000347EF"/>
    <w:rsid w:val="000371A9"/>
    <w:rsid w:val="000413F3"/>
    <w:rsid w:val="000425B8"/>
    <w:rsid w:val="000479AB"/>
    <w:rsid w:val="00050324"/>
    <w:rsid w:val="0005325F"/>
    <w:rsid w:val="00053D3E"/>
    <w:rsid w:val="000542B3"/>
    <w:rsid w:val="0006373F"/>
    <w:rsid w:val="00063EA1"/>
    <w:rsid w:val="0006440E"/>
    <w:rsid w:val="000700C9"/>
    <w:rsid w:val="00070839"/>
    <w:rsid w:val="000729DD"/>
    <w:rsid w:val="00077E69"/>
    <w:rsid w:val="000822AB"/>
    <w:rsid w:val="000868B2"/>
    <w:rsid w:val="000874F7"/>
    <w:rsid w:val="00087A59"/>
    <w:rsid w:val="00091615"/>
    <w:rsid w:val="00091F42"/>
    <w:rsid w:val="00096617"/>
    <w:rsid w:val="000976FE"/>
    <w:rsid w:val="000A0150"/>
    <w:rsid w:val="000A0609"/>
    <w:rsid w:val="000A1C9F"/>
    <w:rsid w:val="000A6FDD"/>
    <w:rsid w:val="000B064E"/>
    <w:rsid w:val="000B34F7"/>
    <w:rsid w:val="000B5A90"/>
    <w:rsid w:val="000C5DEC"/>
    <w:rsid w:val="000C7C24"/>
    <w:rsid w:val="000D0422"/>
    <w:rsid w:val="000D1C03"/>
    <w:rsid w:val="000D2292"/>
    <w:rsid w:val="000D2C98"/>
    <w:rsid w:val="000D4EB6"/>
    <w:rsid w:val="000D6550"/>
    <w:rsid w:val="000D7417"/>
    <w:rsid w:val="000E394A"/>
    <w:rsid w:val="000E4210"/>
    <w:rsid w:val="000E4CD2"/>
    <w:rsid w:val="000E594F"/>
    <w:rsid w:val="000E63C9"/>
    <w:rsid w:val="000F0B24"/>
    <w:rsid w:val="000F132B"/>
    <w:rsid w:val="000F1CEB"/>
    <w:rsid w:val="000F4042"/>
    <w:rsid w:val="000F4F41"/>
    <w:rsid w:val="000F6B81"/>
    <w:rsid w:val="0010037B"/>
    <w:rsid w:val="001024EE"/>
    <w:rsid w:val="00106705"/>
    <w:rsid w:val="001206C5"/>
    <w:rsid w:val="0012115D"/>
    <w:rsid w:val="00122C72"/>
    <w:rsid w:val="00122D69"/>
    <w:rsid w:val="00123E6B"/>
    <w:rsid w:val="00125F8E"/>
    <w:rsid w:val="00130E9D"/>
    <w:rsid w:val="00134060"/>
    <w:rsid w:val="00142EEE"/>
    <w:rsid w:val="00144D24"/>
    <w:rsid w:val="00150A6D"/>
    <w:rsid w:val="00150F7A"/>
    <w:rsid w:val="00155F6D"/>
    <w:rsid w:val="00156E6D"/>
    <w:rsid w:val="00162262"/>
    <w:rsid w:val="001634CF"/>
    <w:rsid w:val="0016413B"/>
    <w:rsid w:val="00166942"/>
    <w:rsid w:val="00175A44"/>
    <w:rsid w:val="00177339"/>
    <w:rsid w:val="00177DE6"/>
    <w:rsid w:val="00185B35"/>
    <w:rsid w:val="00191031"/>
    <w:rsid w:val="001965B7"/>
    <w:rsid w:val="001A04BD"/>
    <w:rsid w:val="001A2592"/>
    <w:rsid w:val="001A3712"/>
    <w:rsid w:val="001A4383"/>
    <w:rsid w:val="001A6DC2"/>
    <w:rsid w:val="001A776B"/>
    <w:rsid w:val="001B0143"/>
    <w:rsid w:val="001B5419"/>
    <w:rsid w:val="001C138B"/>
    <w:rsid w:val="001C54F3"/>
    <w:rsid w:val="001D0989"/>
    <w:rsid w:val="001D38F9"/>
    <w:rsid w:val="001E0FDD"/>
    <w:rsid w:val="001E3307"/>
    <w:rsid w:val="001E501F"/>
    <w:rsid w:val="001F0D26"/>
    <w:rsid w:val="001F2BC8"/>
    <w:rsid w:val="001F2EE4"/>
    <w:rsid w:val="001F3D8E"/>
    <w:rsid w:val="001F4599"/>
    <w:rsid w:val="001F5F6B"/>
    <w:rsid w:val="001F7D00"/>
    <w:rsid w:val="00221628"/>
    <w:rsid w:val="00222495"/>
    <w:rsid w:val="002320C2"/>
    <w:rsid w:val="002333A3"/>
    <w:rsid w:val="0023484B"/>
    <w:rsid w:val="00234ABC"/>
    <w:rsid w:val="00234EFE"/>
    <w:rsid w:val="00235224"/>
    <w:rsid w:val="002377AE"/>
    <w:rsid w:val="00240E5A"/>
    <w:rsid w:val="00243EBC"/>
    <w:rsid w:val="002442C3"/>
    <w:rsid w:val="0024547F"/>
    <w:rsid w:val="0024557C"/>
    <w:rsid w:val="00246A35"/>
    <w:rsid w:val="002539E4"/>
    <w:rsid w:val="0026023E"/>
    <w:rsid w:val="0026236D"/>
    <w:rsid w:val="002636F4"/>
    <w:rsid w:val="002638F9"/>
    <w:rsid w:val="0026714E"/>
    <w:rsid w:val="00267216"/>
    <w:rsid w:val="00270016"/>
    <w:rsid w:val="0028113D"/>
    <w:rsid w:val="00282D1C"/>
    <w:rsid w:val="00284348"/>
    <w:rsid w:val="00287843"/>
    <w:rsid w:val="0029006E"/>
    <w:rsid w:val="00290B26"/>
    <w:rsid w:val="00290F8B"/>
    <w:rsid w:val="00291DB0"/>
    <w:rsid w:val="002A0F56"/>
    <w:rsid w:val="002A4AAA"/>
    <w:rsid w:val="002A6449"/>
    <w:rsid w:val="002A7CD6"/>
    <w:rsid w:val="002B0D36"/>
    <w:rsid w:val="002B11B5"/>
    <w:rsid w:val="002B188C"/>
    <w:rsid w:val="002B40F5"/>
    <w:rsid w:val="002B5AAC"/>
    <w:rsid w:val="002C0D35"/>
    <w:rsid w:val="002C1287"/>
    <w:rsid w:val="002C4AAA"/>
    <w:rsid w:val="002D15C0"/>
    <w:rsid w:val="002D2B06"/>
    <w:rsid w:val="002D357C"/>
    <w:rsid w:val="002D4D98"/>
    <w:rsid w:val="002D504E"/>
    <w:rsid w:val="002D7824"/>
    <w:rsid w:val="002D7F41"/>
    <w:rsid w:val="002E1137"/>
    <w:rsid w:val="002F027E"/>
    <w:rsid w:val="002F0CE0"/>
    <w:rsid w:val="002F1BED"/>
    <w:rsid w:val="002F3233"/>
    <w:rsid w:val="002F3639"/>
    <w:rsid w:val="002F51F5"/>
    <w:rsid w:val="002F543B"/>
    <w:rsid w:val="003045D4"/>
    <w:rsid w:val="00312137"/>
    <w:rsid w:val="003129D0"/>
    <w:rsid w:val="00315DD1"/>
    <w:rsid w:val="00316F5A"/>
    <w:rsid w:val="00320E8F"/>
    <w:rsid w:val="00321B33"/>
    <w:rsid w:val="003302BC"/>
    <w:rsid w:val="00330359"/>
    <w:rsid w:val="00333949"/>
    <w:rsid w:val="003364F9"/>
    <w:rsid w:val="0033762F"/>
    <w:rsid w:val="003401B2"/>
    <w:rsid w:val="00346B33"/>
    <w:rsid w:val="003516C9"/>
    <w:rsid w:val="00352678"/>
    <w:rsid w:val="0035537C"/>
    <w:rsid w:val="00361D97"/>
    <w:rsid w:val="00364135"/>
    <w:rsid w:val="003648CA"/>
    <w:rsid w:val="00366C7E"/>
    <w:rsid w:val="003676A6"/>
    <w:rsid w:val="00367C06"/>
    <w:rsid w:val="00367C64"/>
    <w:rsid w:val="0037266E"/>
    <w:rsid w:val="0038307E"/>
    <w:rsid w:val="00384EA3"/>
    <w:rsid w:val="0039263B"/>
    <w:rsid w:val="00393B64"/>
    <w:rsid w:val="0039488E"/>
    <w:rsid w:val="003A00FD"/>
    <w:rsid w:val="003A1255"/>
    <w:rsid w:val="003A1615"/>
    <w:rsid w:val="003A162C"/>
    <w:rsid w:val="003A262B"/>
    <w:rsid w:val="003A37FE"/>
    <w:rsid w:val="003A39A1"/>
    <w:rsid w:val="003A4E76"/>
    <w:rsid w:val="003A5482"/>
    <w:rsid w:val="003A5762"/>
    <w:rsid w:val="003A7EC5"/>
    <w:rsid w:val="003B7DA6"/>
    <w:rsid w:val="003C0EDA"/>
    <w:rsid w:val="003C2191"/>
    <w:rsid w:val="003C387C"/>
    <w:rsid w:val="003D10A7"/>
    <w:rsid w:val="003D2E72"/>
    <w:rsid w:val="003D3863"/>
    <w:rsid w:val="003D396E"/>
    <w:rsid w:val="003D7E7F"/>
    <w:rsid w:val="003E0214"/>
    <w:rsid w:val="003E155E"/>
    <w:rsid w:val="003E1C7D"/>
    <w:rsid w:val="003E4313"/>
    <w:rsid w:val="003E7FA6"/>
    <w:rsid w:val="003F4164"/>
    <w:rsid w:val="00400F5E"/>
    <w:rsid w:val="00402297"/>
    <w:rsid w:val="00402C3F"/>
    <w:rsid w:val="00403F35"/>
    <w:rsid w:val="004105D8"/>
    <w:rsid w:val="00410F7D"/>
    <w:rsid w:val="004110DE"/>
    <w:rsid w:val="00415069"/>
    <w:rsid w:val="00415A18"/>
    <w:rsid w:val="004163FE"/>
    <w:rsid w:val="00422529"/>
    <w:rsid w:val="004226AA"/>
    <w:rsid w:val="004254E6"/>
    <w:rsid w:val="00430EB4"/>
    <w:rsid w:val="00432EFF"/>
    <w:rsid w:val="004335CA"/>
    <w:rsid w:val="004337AB"/>
    <w:rsid w:val="0044085A"/>
    <w:rsid w:val="00440C8C"/>
    <w:rsid w:val="00444A98"/>
    <w:rsid w:val="00452588"/>
    <w:rsid w:val="0045396C"/>
    <w:rsid w:val="0045497A"/>
    <w:rsid w:val="00456A9F"/>
    <w:rsid w:val="00460F8B"/>
    <w:rsid w:val="00463A00"/>
    <w:rsid w:val="00464451"/>
    <w:rsid w:val="004652CD"/>
    <w:rsid w:val="00467823"/>
    <w:rsid w:val="004701AB"/>
    <w:rsid w:val="0047767C"/>
    <w:rsid w:val="00481214"/>
    <w:rsid w:val="00483523"/>
    <w:rsid w:val="004975B2"/>
    <w:rsid w:val="004B1813"/>
    <w:rsid w:val="004B21A5"/>
    <w:rsid w:val="004B5C5A"/>
    <w:rsid w:val="004B65FA"/>
    <w:rsid w:val="004C1AA9"/>
    <w:rsid w:val="004C4621"/>
    <w:rsid w:val="004C5B6A"/>
    <w:rsid w:val="004D3117"/>
    <w:rsid w:val="004D6F33"/>
    <w:rsid w:val="004D6F92"/>
    <w:rsid w:val="004D731D"/>
    <w:rsid w:val="004E0500"/>
    <w:rsid w:val="004E4C9F"/>
    <w:rsid w:val="004E5343"/>
    <w:rsid w:val="004E5840"/>
    <w:rsid w:val="004F5EE1"/>
    <w:rsid w:val="004F6967"/>
    <w:rsid w:val="004F782E"/>
    <w:rsid w:val="00501B2E"/>
    <w:rsid w:val="005027F3"/>
    <w:rsid w:val="005037F0"/>
    <w:rsid w:val="0050445C"/>
    <w:rsid w:val="0050562B"/>
    <w:rsid w:val="00516A86"/>
    <w:rsid w:val="00516BCD"/>
    <w:rsid w:val="00520061"/>
    <w:rsid w:val="005243BC"/>
    <w:rsid w:val="00524416"/>
    <w:rsid w:val="00525DA9"/>
    <w:rsid w:val="005275F6"/>
    <w:rsid w:val="005335A6"/>
    <w:rsid w:val="00540504"/>
    <w:rsid w:val="00540DF9"/>
    <w:rsid w:val="005412CD"/>
    <w:rsid w:val="00543946"/>
    <w:rsid w:val="00546B07"/>
    <w:rsid w:val="00551988"/>
    <w:rsid w:val="005614CB"/>
    <w:rsid w:val="005638AA"/>
    <w:rsid w:val="00567A53"/>
    <w:rsid w:val="005705C6"/>
    <w:rsid w:val="005711FE"/>
    <w:rsid w:val="00572102"/>
    <w:rsid w:val="0057233A"/>
    <w:rsid w:val="00573681"/>
    <w:rsid w:val="00573C40"/>
    <w:rsid w:val="005743D3"/>
    <w:rsid w:val="00576989"/>
    <w:rsid w:val="00576B5C"/>
    <w:rsid w:val="00581889"/>
    <w:rsid w:val="0058503C"/>
    <w:rsid w:val="005928AC"/>
    <w:rsid w:val="005930EE"/>
    <w:rsid w:val="005933C4"/>
    <w:rsid w:val="005A09CA"/>
    <w:rsid w:val="005A0E02"/>
    <w:rsid w:val="005A1832"/>
    <w:rsid w:val="005A1D5A"/>
    <w:rsid w:val="005A2FB7"/>
    <w:rsid w:val="005A4B09"/>
    <w:rsid w:val="005B1C70"/>
    <w:rsid w:val="005B6958"/>
    <w:rsid w:val="005B69D8"/>
    <w:rsid w:val="005C0FEE"/>
    <w:rsid w:val="005C12F0"/>
    <w:rsid w:val="005C2BD6"/>
    <w:rsid w:val="005C3A9D"/>
    <w:rsid w:val="005D45E9"/>
    <w:rsid w:val="005D5D44"/>
    <w:rsid w:val="005E1DDA"/>
    <w:rsid w:val="005E3525"/>
    <w:rsid w:val="005E3B0E"/>
    <w:rsid w:val="005F1BB0"/>
    <w:rsid w:val="005F3311"/>
    <w:rsid w:val="005F3B54"/>
    <w:rsid w:val="005F3D7B"/>
    <w:rsid w:val="005F5723"/>
    <w:rsid w:val="006015DE"/>
    <w:rsid w:val="00601A63"/>
    <w:rsid w:val="00602ADE"/>
    <w:rsid w:val="00603BAE"/>
    <w:rsid w:val="0060488B"/>
    <w:rsid w:val="00607BF1"/>
    <w:rsid w:val="00611B4C"/>
    <w:rsid w:val="00616460"/>
    <w:rsid w:val="00616E92"/>
    <w:rsid w:val="0062041C"/>
    <w:rsid w:val="00620D39"/>
    <w:rsid w:val="00625AE0"/>
    <w:rsid w:val="00627231"/>
    <w:rsid w:val="00630CA9"/>
    <w:rsid w:val="00634B3D"/>
    <w:rsid w:val="00644900"/>
    <w:rsid w:val="0064580E"/>
    <w:rsid w:val="00645FE9"/>
    <w:rsid w:val="00646E34"/>
    <w:rsid w:val="00656C4D"/>
    <w:rsid w:val="006606A9"/>
    <w:rsid w:val="00660CD8"/>
    <w:rsid w:val="00664D06"/>
    <w:rsid w:val="00667334"/>
    <w:rsid w:val="00667818"/>
    <w:rsid w:val="006743DF"/>
    <w:rsid w:val="00676951"/>
    <w:rsid w:val="00676D7D"/>
    <w:rsid w:val="00680D42"/>
    <w:rsid w:val="006844A4"/>
    <w:rsid w:val="00685E8F"/>
    <w:rsid w:val="006A39F4"/>
    <w:rsid w:val="006A4023"/>
    <w:rsid w:val="006A7D5B"/>
    <w:rsid w:val="006B0568"/>
    <w:rsid w:val="006B4412"/>
    <w:rsid w:val="006C1E27"/>
    <w:rsid w:val="006C4995"/>
    <w:rsid w:val="006C4C3C"/>
    <w:rsid w:val="006D207C"/>
    <w:rsid w:val="006D3BF2"/>
    <w:rsid w:val="006D3FC5"/>
    <w:rsid w:val="006D690A"/>
    <w:rsid w:val="006D6DDC"/>
    <w:rsid w:val="006D75E9"/>
    <w:rsid w:val="006E5716"/>
    <w:rsid w:val="006E5A48"/>
    <w:rsid w:val="006E6301"/>
    <w:rsid w:val="006E7155"/>
    <w:rsid w:val="006E7823"/>
    <w:rsid w:val="006F72E3"/>
    <w:rsid w:val="0070015A"/>
    <w:rsid w:val="00701A4E"/>
    <w:rsid w:val="00703F0D"/>
    <w:rsid w:val="00715D52"/>
    <w:rsid w:val="00716488"/>
    <w:rsid w:val="00716570"/>
    <w:rsid w:val="00716850"/>
    <w:rsid w:val="00716EF0"/>
    <w:rsid w:val="00717363"/>
    <w:rsid w:val="00721136"/>
    <w:rsid w:val="007266A6"/>
    <w:rsid w:val="00726A26"/>
    <w:rsid w:val="00727784"/>
    <w:rsid w:val="007302B3"/>
    <w:rsid w:val="00730733"/>
    <w:rsid w:val="00730E3A"/>
    <w:rsid w:val="007317BF"/>
    <w:rsid w:val="0073501D"/>
    <w:rsid w:val="007353D8"/>
    <w:rsid w:val="007355CC"/>
    <w:rsid w:val="00736AAF"/>
    <w:rsid w:val="007402B3"/>
    <w:rsid w:val="00745EA4"/>
    <w:rsid w:val="00746D14"/>
    <w:rsid w:val="007476DD"/>
    <w:rsid w:val="00751B50"/>
    <w:rsid w:val="00752870"/>
    <w:rsid w:val="007540FB"/>
    <w:rsid w:val="00762938"/>
    <w:rsid w:val="00765B2A"/>
    <w:rsid w:val="007662EE"/>
    <w:rsid w:val="007718CC"/>
    <w:rsid w:val="0077332B"/>
    <w:rsid w:val="007740F0"/>
    <w:rsid w:val="00774E88"/>
    <w:rsid w:val="00775895"/>
    <w:rsid w:val="00775A6E"/>
    <w:rsid w:val="00776EF0"/>
    <w:rsid w:val="00783A34"/>
    <w:rsid w:val="0079406E"/>
    <w:rsid w:val="00796628"/>
    <w:rsid w:val="007A2B0D"/>
    <w:rsid w:val="007A3F2C"/>
    <w:rsid w:val="007A43C5"/>
    <w:rsid w:val="007A5907"/>
    <w:rsid w:val="007A684C"/>
    <w:rsid w:val="007B08D4"/>
    <w:rsid w:val="007B1A83"/>
    <w:rsid w:val="007B7E74"/>
    <w:rsid w:val="007C346C"/>
    <w:rsid w:val="007C5020"/>
    <w:rsid w:val="007C5516"/>
    <w:rsid w:val="007C6B52"/>
    <w:rsid w:val="007D16C5"/>
    <w:rsid w:val="007D2C4D"/>
    <w:rsid w:val="007D4B9F"/>
    <w:rsid w:val="007D7521"/>
    <w:rsid w:val="007E02EC"/>
    <w:rsid w:val="007E078D"/>
    <w:rsid w:val="007E24AD"/>
    <w:rsid w:val="007E48D0"/>
    <w:rsid w:val="007F15C6"/>
    <w:rsid w:val="00800410"/>
    <w:rsid w:val="00801323"/>
    <w:rsid w:val="008138C0"/>
    <w:rsid w:val="00817736"/>
    <w:rsid w:val="008206E8"/>
    <w:rsid w:val="00821DE0"/>
    <w:rsid w:val="00824113"/>
    <w:rsid w:val="0083206E"/>
    <w:rsid w:val="0083726F"/>
    <w:rsid w:val="008428D8"/>
    <w:rsid w:val="008434A4"/>
    <w:rsid w:val="00843566"/>
    <w:rsid w:val="008436AC"/>
    <w:rsid w:val="00843946"/>
    <w:rsid w:val="008459CF"/>
    <w:rsid w:val="00847000"/>
    <w:rsid w:val="00851A85"/>
    <w:rsid w:val="0085387D"/>
    <w:rsid w:val="0085607D"/>
    <w:rsid w:val="00857B5B"/>
    <w:rsid w:val="00862FE4"/>
    <w:rsid w:val="0086389A"/>
    <w:rsid w:val="00865029"/>
    <w:rsid w:val="00871147"/>
    <w:rsid w:val="008719E0"/>
    <w:rsid w:val="00874B9B"/>
    <w:rsid w:val="0087510C"/>
    <w:rsid w:val="0087605E"/>
    <w:rsid w:val="00876207"/>
    <w:rsid w:val="00884038"/>
    <w:rsid w:val="008850B7"/>
    <w:rsid w:val="00885175"/>
    <w:rsid w:val="00885827"/>
    <w:rsid w:val="0088613F"/>
    <w:rsid w:val="0088615A"/>
    <w:rsid w:val="00886EAE"/>
    <w:rsid w:val="008908F4"/>
    <w:rsid w:val="00891833"/>
    <w:rsid w:val="00891F3F"/>
    <w:rsid w:val="008A2BC2"/>
    <w:rsid w:val="008A40ED"/>
    <w:rsid w:val="008A5436"/>
    <w:rsid w:val="008A5D63"/>
    <w:rsid w:val="008A6D9E"/>
    <w:rsid w:val="008B0186"/>
    <w:rsid w:val="008B1181"/>
    <w:rsid w:val="008B1FEE"/>
    <w:rsid w:val="008B2B6A"/>
    <w:rsid w:val="008B5CA8"/>
    <w:rsid w:val="008B6230"/>
    <w:rsid w:val="008B67E8"/>
    <w:rsid w:val="008C0188"/>
    <w:rsid w:val="008C0B34"/>
    <w:rsid w:val="008C179A"/>
    <w:rsid w:val="008C77DD"/>
    <w:rsid w:val="008D32B2"/>
    <w:rsid w:val="008E1895"/>
    <w:rsid w:val="008E22CA"/>
    <w:rsid w:val="008E3D62"/>
    <w:rsid w:val="008E463D"/>
    <w:rsid w:val="008F2737"/>
    <w:rsid w:val="00902ABD"/>
    <w:rsid w:val="00903C32"/>
    <w:rsid w:val="00905B91"/>
    <w:rsid w:val="009069E1"/>
    <w:rsid w:val="00907FC5"/>
    <w:rsid w:val="00910086"/>
    <w:rsid w:val="009100E4"/>
    <w:rsid w:val="009126CD"/>
    <w:rsid w:val="00913425"/>
    <w:rsid w:val="00915C2D"/>
    <w:rsid w:val="00915F85"/>
    <w:rsid w:val="00916B16"/>
    <w:rsid w:val="009173B9"/>
    <w:rsid w:val="00917A7F"/>
    <w:rsid w:val="00920662"/>
    <w:rsid w:val="0092261F"/>
    <w:rsid w:val="00923AC0"/>
    <w:rsid w:val="0092468E"/>
    <w:rsid w:val="00926B84"/>
    <w:rsid w:val="00927D0D"/>
    <w:rsid w:val="00931080"/>
    <w:rsid w:val="0093335D"/>
    <w:rsid w:val="0093613E"/>
    <w:rsid w:val="0093753D"/>
    <w:rsid w:val="00943002"/>
    <w:rsid w:val="00943026"/>
    <w:rsid w:val="0094405D"/>
    <w:rsid w:val="00944D9E"/>
    <w:rsid w:val="009510AF"/>
    <w:rsid w:val="00953E92"/>
    <w:rsid w:val="00955B28"/>
    <w:rsid w:val="00960CE1"/>
    <w:rsid w:val="00964217"/>
    <w:rsid w:val="00966497"/>
    <w:rsid w:val="00966B81"/>
    <w:rsid w:val="00966CB7"/>
    <w:rsid w:val="00971D1F"/>
    <w:rsid w:val="00974996"/>
    <w:rsid w:val="00976020"/>
    <w:rsid w:val="00980D4D"/>
    <w:rsid w:val="009847AA"/>
    <w:rsid w:val="00984BA4"/>
    <w:rsid w:val="00987075"/>
    <w:rsid w:val="009870F3"/>
    <w:rsid w:val="00987FAE"/>
    <w:rsid w:val="009A18A9"/>
    <w:rsid w:val="009A1BD3"/>
    <w:rsid w:val="009A235E"/>
    <w:rsid w:val="009A24AF"/>
    <w:rsid w:val="009A4B7C"/>
    <w:rsid w:val="009B096A"/>
    <w:rsid w:val="009B39F9"/>
    <w:rsid w:val="009C1894"/>
    <w:rsid w:val="009C338D"/>
    <w:rsid w:val="009C390D"/>
    <w:rsid w:val="009C7720"/>
    <w:rsid w:val="009E6420"/>
    <w:rsid w:val="009F28A9"/>
    <w:rsid w:val="009F3506"/>
    <w:rsid w:val="009F5396"/>
    <w:rsid w:val="00A02B6C"/>
    <w:rsid w:val="00A036B5"/>
    <w:rsid w:val="00A03B2E"/>
    <w:rsid w:val="00A2179F"/>
    <w:rsid w:val="00A23A9B"/>
    <w:rsid w:val="00A23AFA"/>
    <w:rsid w:val="00A307BD"/>
    <w:rsid w:val="00A30BF5"/>
    <w:rsid w:val="00A31B3E"/>
    <w:rsid w:val="00A42814"/>
    <w:rsid w:val="00A44330"/>
    <w:rsid w:val="00A46EC2"/>
    <w:rsid w:val="00A46F03"/>
    <w:rsid w:val="00A51198"/>
    <w:rsid w:val="00A51D05"/>
    <w:rsid w:val="00A532F3"/>
    <w:rsid w:val="00A54071"/>
    <w:rsid w:val="00A56C4A"/>
    <w:rsid w:val="00A602A5"/>
    <w:rsid w:val="00A624A7"/>
    <w:rsid w:val="00A639AA"/>
    <w:rsid w:val="00A63DAE"/>
    <w:rsid w:val="00A66028"/>
    <w:rsid w:val="00A71BC6"/>
    <w:rsid w:val="00A74BF6"/>
    <w:rsid w:val="00A76EA1"/>
    <w:rsid w:val="00A80250"/>
    <w:rsid w:val="00A80283"/>
    <w:rsid w:val="00A82A2D"/>
    <w:rsid w:val="00A8489E"/>
    <w:rsid w:val="00A91B15"/>
    <w:rsid w:val="00A92C98"/>
    <w:rsid w:val="00AA08BD"/>
    <w:rsid w:val="00AA11A4"/>
    <w:rsid w:val="00AA3262"/>
    <w:rsid w:val="00AA634D"/>
    <w:rsid w:val="00AB114F"/>
    <w:rsid w:val="00AB4722"/>
    <w:rsid w:val="00AB4CA8"/>
    <w:rsid w:val="00AC1497"/>
    <w:rsid w:val="00AC29F3"/>
    <w:rsid w:val="00AC5F37"/>
    <w:rsid w:val="00AC77C7"/>
    <w:rsid w:val="00AC78D5"/>
    <w:rsid w:val="00AD002E"/>
    <w:rsid w:val="00AD0CAD"/>
    <w:rsid w:val="00AD4253"/>
    <w:rsid w:val="00AD7502"/>
    <w:rsid w:val="00AD7A54"/>
    <w:rsid w:val="00AE6E89"/>
    <w:rsid w:val="00AE6EFA"/>
    <w:rsid w:val="00AF403C"/>
    <w:rsid w:val="00AF4C6A"/>
    <w:rsid w:val="00AF591F"/>
    <w:rsid w:val="00AF5D73"/>
    <w:rsid w:val="00AF6859"/>
    <w:rsid w:val="00AF746E"/>
    <w:rsid w:val="00B02ADA"/>
    <w:rsid w:val="00B04A53"/>
    <w:rsid w:val="00B05C1C"/>
    <w:rsid w:val="00B112CF"/>
    <w:rsid w:val="00B2104E"/>
    <w:rsid w:val="00B231E5"/>
    <w:rsid w:val="00B232A8"/>
    <w:rsid w:val="00B2540B"/>
    <w:rsid w:val="00B34AF7"/>
    <w:rsid w:val="00B36DAF"/>
    <w:rsid w:val="00B51A9B"/>
    <w:rsid w:val="00B53D01"/>
    <w:rsid w:val="00B57CC7"/>
    <w:rsid w:val="00B61C06"/>
    <w:rsid w:val="00B633C3"/>
    <w:rsid w:val="00B71095"/>
    <w:rsid w:val="00B71C49"/>
    <w:rsid w:val="00B73BFB"/>
    <w:rsid w:val="00B73D70"/>
    <w:rsid w:val="00B749D3"/>
    <w:rsid w:val="00B75912"/>
    <w:rsid w:val="00B75AB9"/>
    <w:rsid w:val="00B76CAA"/>
    <w:rsid w:val="00B81C00"/>
    <w:rsid w:val="00B830B0"/>
    <w:rsid w:val="00B831A9"/>
    <w:rsid w:val="00B8321D"/>
    <w:rsid w:val="00B84173"/>
    <w:rsid w:val="00B93847"/>
    <w:rsid w:val="00B9395B"/>
    <w:rsid w:val="00BA2BBE"/>
    <w:rsid w:val="00BA35BF"/>
    <w:rsid w:val="00BA377F"/>
    <w:rsid w:val="00BA39D0"/>
    <w:rsid w:val="00BA51DA"/>
    <w:rsid w:val="00BA64FA"/>
    <w:rsid w:val="00BB209A"/>
    <w:rsid w:val="00BB6081"/>
    <w:rsid w:val="00BB640F"/>
    <w:rsid w:val="00BC033A"/>
    <w:rsid w:val="00BC0FB5"/>
    <w:rsid w:val="00BD07AC"/>
    <w:rsid w:val="00BD0A14"/>
    <w:rsid w:val="00BD0C52"/>
    <w:rsid w:val="00BD31EB"/>
    <w:rsid w:val="00BD39C3"/>
    <w:rsid w:val="00BD55C9"/>
    <w:rsid w:val="00BE2546"/>
    <w:rsid w:val="00BE3472"/>
    <w:rsid w:val="00BE65E9"/>
    <w:rsid w:val="00BE75A4"/>
    <w:rsid w:val="00BE7C76"/>
    <w:rsid w:val="00BE7EC4"/>
    <w:rsid w:val="00BF092E"/>
    <w:rsid w:val="00BF102B"/>
    <w:rsid w:val="00BF2B94"/>
    <w:rsid w:val="00BF51DE"/>
    <w:rsid w:val="00BF5515"/>
    <w:rsid w:val="00BF713A"/>
    <w:rsid w:val="00BF7D16"/>
    <w:rsid w:val="00C00E42"/>
    <w:rsid w:val="00C00EDE"/>
    <w:rsid w:val="00C02B87"/>
    <w:rsid w:val="00C065D4"/>
    <w:rsid w:val="00C10274"/>
    <w:rsid w:val="00C10A28"/>
    <w:rsid w:val="00C1299F"/>
    <w:rsid w:val="00C1562A"/>
    <w:rsid w:val="00C20D8D"/>
    <w:rsid w:val="00C2177F"/>
    <w:rsid w:val="00C21ACE"/>
    <w:rsid w:val="00C2282D"/>
    <w:rsid w:val="00C2767E"/>
    <w:rsid w:val="00C32397"/>
    <w:rsid w:val="00C32736"/>
    <w:rsid w:val="00C32802"/>
    <w:rsid w:val="00C3665F"/>
    <w:rsid w:val="00C37652"/>
    <w:rsid w:val="00C404D3"/>
    <w:rsid w:val="00C4086D"/>
    <w:rsid w:val="00C415B3"/>
    <w:rsid w:val="00C42D6B"/>
    <w:rsid w:val="00C459B7"/>
    <w:rsid w:val="00C46F05"/>
    <w:rsid w:val="00C5259E"/>
    <w:rsid w:val="00C533BC"/>
    <w:rsid w:val="00C55370"/>
    <w:rsid w:val="00C60825"/>
    <w:rsid w:val="00C61F9C"/>
    <w:rsid w:val="00C65B6A"/>
    <w:rsid w:val="00C663E0"/>
    <w:rsid w:val="00C670DC"/>
    <w:rsid w:val="00C67D62"/>
    <w:rsid w:val="00C728E1"/>
    <w:rsid w:val="00C729C3"/>
    <w:rsid w:val="00C926F3"/>
    <w:rsid w:val="00C95569"/>
    <w:rsid w:val="00C97366"/>
    <w:rsid w:val="00CA1896"/>
    <w:rsid w:val="00CA50C6"/>
    <w:rsid w:val="00CA5E39"/>
    <w:rsid w:val="00CA7158"/>
    <w:rsid w:val="00CB0A47"/>
    <w:rsid w:val="00CB148E"/>
    <w:rsid w:val="00CB1E9F"/>
    <w:rsid w:val="00CB5144"/>
    <w:rsid w:val="00CB5B28"/>
    <w:rsid w:val="00CC007B"/>
    <w:rsid w:val="00CC1C06"/>
    <w:rsid w:val="00CC3391"/>
    <w:rsid w:val="00CC404C"/>
    <w:rsid w:val="00CC5A28"/>
    <w:rsid w:val="00CC6A78"/>
    <w:rsid w:val="00CD216F"/>
    <w:rsid w:val="00CD33A6"/>
    <w:rsid w:val="00CE1D76"/>
    <w:rsid w:val="00CE2444"/>
    <w:rsid w:val="00CE2BB4"/>
    <w:rsid w:val="00CE45D4"/>
    <w:rsid w:val="00CE4F44"/>
    <w:rsid w:val="00CE6CC7"/>
    <w:rsid w:val="00CF1A0E"/>
    <w:rsid w:val="00CF5371"/>
    <w:rsid w:val="00D0071E"/>
    <w:rsid w:val="00D0323A"/>
    <w:rsid w:val="00D0559F"/>
    <w:rsid w:val="00D06F07"/>
    <w:rsid w:val="00D077E9"/>
    <w:rsid w:val="00D07AEF"/>
    <w:rsid w:val="00D13564"/>
    <w:rsid w:val="00D153D6"/>
    <w:rsid w:val="00D16912"/>
    <w:rsid w:val="00D17EB0"/>
    <w:rsid w:val="00D224AB"/>
    <w:rsid w:val="00D25D9C"/>
    <w:rsid w:val="00D26019"/>
    <w:rsid w:val="00D26250"/>
    <w:rsid w:val="00D26FAC"/>
    <w:rsid w:val="00D27A23"/>
    <w:rsid w:val="00D27B2D"/>
    <w:rsid w:val="00D31998"/>
    <w:rsid w:val="00D42CB7"/>
    <w:rsid w:val="00D432E6"/>
    <w:rsid w:val="00D446F3"/>
    <w:rsid w:val="00D47CBB"/>
    <w:rsid w:val="00D527B5"/>
    <w:rsid w:val="00D5413D"/>
    <w:rsid w:val="00D54338"/>
    <w:rsid w:val="00D5616F"/>
    <w:rsid w:val="00D570A9"/>
    <w:rsid w:val="00D57500"/>
    <w:rsid w:val="00D5768E"/>
    <w:rsid w:val="00D600B9"/>
    <w:rsid w:val="00D60459"/>
    <w:rsid w:val="00D65369"/>
    <w:rsid w:val="00D67514"/>
    <w:rsid w:val="00D706D8"/>
    <w:rsid w:val="00D70D02"/>
    <w:rsid w:val="00D717B5"/>
    <w:rsid w:val="00D72A54"/>
    <w:rsid w:val="00D72AC9"/>
    <w:rsid w:val="00D72C1A"/>
    <w:rsid w:val="00D73ABB"/>
    <w:rsid w:val="00D745A4"/>
    <w:rsid w:val="00D770C7"/>
    <w:rsid w:val="00D803D9"/>
    <w:rsid w:val="00D80439"/>
    <w:rsid w:val="00D80E7E"/>
    <w:rsid w:val="00D81185"/>
    <w:rsid w:val="00D82DC3"/>
    <w:rsid w:val="00D86461"/>
    <w:rsid w:val="00D86945"/>
    <w:rsid w:val="00D90290"/>
    <w:rsid w:val="00D92FF7"/>
    <w:rsid w:val="00D94F7F"/>
    <w:rsid w:val="00DA2F0B"/>
    <w:rsid w:val="00DA34A2"/>
    <w:rsid w:val="00DA6164"/>
    <w:rsid w:val="00DA6338"/>
    <w:rsid w:val="00DA6EC8"/>
    <w:rsid w:val="00DA73E4"/>
    <w:rsid w:val="00DB1ACD"/>
    <w:rsid w:val="00DB2EE2"/>
    <w:rsid w:val="00DB54FF"/>
    <w:rsid w:val="00DB613B"/>
    <w:rsid w:val="00DC01BD"/>
    <w:rsid w:val="00DC15B3"/>
    <w:rsid w:val="00DC7F31"/>
    <w:rsid w:val="00DD152F"/>
    <w:rsid w:val="00DE034D"/>
    <w:rsid w:val="00DE213F"/>
    <w:rsid w:val="00DF027C"/>
    <w:rsid w:val="00DF2213"/>
    <w:rsid w:val="00DF47AD"/>
    <w:rsid w:val="00E00072"/>
    <w:rsid w:val="00E00A32"/>
    <w:rsid w:val="00E214A3"/>
    <w:rsid w:val="00E21788"/>
    <w:rsid w:val="00E224D6"/>
    <w:rsid w:val="00E22ACD"/>
    <w:rsid w:val="00E25C44"/>
    <w:rsid w:val="00E3151C"/>
    <w:rsid w:val="00E405BE"/>
    <w:rsid w:val="00E41199"/>
    <w:rsid w:val="00E41D8C"/>
    <w:rsid w:val="00E42301"/>
    <w:rsid w:val="00E50278"/>
    <w:rsid w:val="00E50F02"/>
    <w:rsid w:val="00E523A0"/>
    <w:rsid w:val="00E52FC1"/>
    <w:rsid w:val="00E5591D"/>
    <w:rsid w:val="00E57A8E"/>
    <w:rsid w:val="00E620B0"/>
    <w:rsid w:val="00E62AD8"/>
    <w:rsid w:val="00E64953"/>
    <w:rsid w:val="00E65778"/>
    <w:rsid w:val="00E70617"/>
    <w:rsid w:val="00E70D92"/>
    <w:rsid w:val="00E71F4B"/>
    <w:rsid w:val="00E74553"/>
    <w:rsid w:val="00E81B40"/>
    <w:rsid w:val="00E846E6"/>
    <w:rsid w:val="00E925CB"/>
    <w:rsid w:val="00E95980"/>
    <w:rsid w:val="00EA107F"/>
    <w:rsid w:val="00EA44AB"/>
    <w:rsid w:val="00EA67D7"/>
    <w:rsid w:val="00EB2354"/>
    <w:rsid w:val="00EB3276"/>
    <w:rsid w:val="00EB49C8"/>
    <w:rsid w:val="00EB5617"/>
    <w:rsid w:val="00EB5D9E"/>
    <w:rsid w:val="00EB6895"/>
    <w:rsid w:val="00EC0787"/>
    <w:rsid w:val="00EC16F4"/>
    <w:rsid w:val="00EC3BA1"/>
    <w:rsid w:val="00EC6D9F"/>
    <w:rsid w:val="00EC7A50"/>
    <w:rsid w:val="00ED04AC"/>
    <w:rsid w:val="00ED09D9"/>
    <w:rsid w:val="00ED64A9"/>
    <w:rsid w:val="00ED6ABB"/>
    <w:rsid w:val="00EE4DD3"/>
    <w:rsid w:val="00EE540B"/>
    <w:rsid w:val="00EE5716"/>
    <w:rsid w:val="00EE7667"/>
    <w:rsid w:val="00EF363E"/>
    <w:rsid w:val="00EF4208"/>
    <w:rsid w:val="00EF555B"/>
    <w:rsid w:val="00EF5A79"/>
    <w:rsid w:val="00EF654C"/>
    <w:rsid w:val="00F027BB"/>
    <w:rsid w:val="00F029D3"/>
    <w:rsid w:val="00F02E91"/>
    <w:rsid w:val="00F03770"/>
    <w:rsid w:val="00F04779"/>
    <w:rsid w:val="00F05ABE"/>
    <w:rsid w:val="00F11DCF"/>
    <w:rsid w:val="00F1209D"/>
    <w:rsid w:val="00F14747"/>
    <w:rsid w:val="00F15C5D"/>
    <w:rsid w:val="00F162EA"/>
    <w:rsid w:val="00F16915"/>
    <w:rsid w:val="00F169A3"/>
    <w:rsid w:val="00F220E0"/>
    <w:rsid w:val="00F22436"/>
    <w:rsid w:val="00F40C4E"/>
    <w:rsid w:val="00F4103F"/>
    <w:rsid w:val="00F41AAB"/>
    <w:rsid w:val="00F4274A"/>
    <w:rsid w:val="00F42D3C"/>
    <w:rsid w:val="00F51D72"/>
    <w:rsid w:val="00F52D27"/>
    <w:rsid w:val="00F53486"/>
    <w:rsid w:val="00F53D48"/>
    <w:rsid w:val="00F5471B"/>
    <w:rsid w:val="00F556B6"/>
    <w:rsid w:val="00F56265"/>
    <w:rsid w:val="00F57870"/>
    <w:rsid w:val="00F63CA7"/>
    <w:rsid w:val="00F655FC"/>
    <w:rsid w:val="00F67364"/>
    <w:rsid w:val="00F67EB1"/>
    <w:rsid w:val="00F73417"/>
    <w:rsid w:val="00F75D11"/>
    <w:rsid w:val="00F83527"/>
    <w:rsid w:val="00F866AE"/>
    <w:rsid w:val="00F91D09"/>
    <w:rsid w:val="00F947AF"/>
    <w:rsid w:val="00F9619B"/>
    <w:rsid w:val="00FA2689"/>
    <w:rsid w:val="00FA278C"/>
    <w:rsid w:val="00FA3633"/>
    <w:rsid w:val="00FA4715"/>
    <w:rsid w:val="00FA4D5D"/>
    <w:rsid w:val="00FB0AF5"/>
    <w:rsid w:val="00FB5840"/>
    <w:rsid w:val="00FC2929"/>
    <w:rsid w:val="00FC3437"/>
    <w:rsid w:val="00FC6876"/>
    <w:rsid w:val="00FC7025"/>
    <w:rsid w:val="00FC7670"/>
    <w:rsid w:val="00FD16D2"/>
    <w:rsid w:val="00FD583F"/>
    <w:rsid w:val="00FD7488"/>
    <w:rsid w:val="00FE6E1E"/>
    <w:rsid w:val="00FF0519"/>
    <w:rsid w:val="00FF1484"/>
    <w:rsid w:val="00FF16B4"/>
    <w:rsid w:val="00FF3E04"/>
    <w:rsid w:val="00FF7164"/>
    <w:rsid w:val="00FF7CA8"/>
    <w:rsid w:val="04D22DF1"/>
    <w:rsid w:val="05D22329"/>
    <w:rsid w:val="061C4341"/>
    <w:rsid w:val="0691613E"/>
    <w:rsid w:val="07604C86"/>
    <w:rsid w:val="0861852F"/>
    <w:rsid w:val="08695153"/>
    <w:rsid w:val="08C31FC2"/>
    <w:rsid w:val="08D576DD"/>
    <w:rsid w:val="09013797"/>
    <w:rsid w:val="098E04A2"/>
    <w:rsid w:val="0B96610C"/>
    <w:rsid w:val="1016EF74"/>
    <w:rsid w:val="10696036"/>
    <w:rsid w:val="10E06E01"/>
    <w:rsid w:val="123E3718"/>
    <w:rsid w:val="15EEC1C7"/>
    <w:rsid w:val="15FFDE9F"/>
    <w:rsid w:val="17C7CAAB"/>
    <w:rsid w:val="1A6DAB4C"/>
    <w:rsid w:val="1C16E822"/>
    <w:rsid w:val="1C57B742"/>
    <w:rsid w:val="1D55AC88"/>
    <w:rsid w:val="1FCA8B44"/>
    <w:rsid w:val="1FEFB85C"/>
    <w:rsid w:val="21541D53"/>
    <w:rsid w:val="21BC3376"/>
    <w:rsid w:val="260AEF3E"/>
    <w:rsid w:val="27289BC6"/>
    <w:rsid w:val="292A8ACE"/>
    <w:rsid w:val="2A249546"/>
    <w:rsid w:val="2A84F273"/>
    <w:rsid w:val="2B112DFB"/>
    <w:rsid w:val="2BB1B138"/>
    <w:rsid w:val="2C588E6C"/>
    <w:rsid w:val="2D4E6ABC"/>
    <w:rsid w:val="2E09A4C4"/>
    <w:rsid w:val="2E12DFE2"/>
    <w:rsid w:val="324928F8"/>
    <w:rsid w:val="33A61E8C"/>
    <w:rsid w:val="3554EDD6"/>
    <w:rsid w:val="384EA5F0"/>
    <w:rsid w:val="3C1FD003"/>
    <w:rsid w:val="3C3E5F2E"/>
    <w:rsid w:val="3E29ECBD"/>
    <w:rsid w:val="3E7184DA"/>
    <w:rsid w:val="3EEF2EA8"/>
    <w:rsid w:val="40B512C6"/>
    <w:rsid w:val="4270DDF2"/>
    <w:rsid w:val="43CDCEC7"/>
    <w:rsid w:val="48D550F9"/>
    <w:rsid w:val="49360311"/>
    <w:rsid w:val="49CA45B2"/>
    <w:rsid w:val="4A35E7C3"/>
    <w:rsid w:val="4BC3D981"/>
    <w:rsid w:val="4DC905C5"/>
    <w:rsid w:val="4E057711"/>
    <w:rsid w:val="522AF52E"/>
    <w:rsid w:val="5250C2E3"/>
    <w:rsid w:val="52D5A8D9"/>
    <w:rsid w:val="53966796"/>
    <w:rsid w:val="54B88253"/>
    <w:rsid w:val="551D0F98"/>
    <w:rsid w:val="553B47CD"/>
    <w:rsid w:val="5584D96E"/>
    <w:rsid w:val="59F0FF60"/>
    <w:rsid w:val="5A1580CA"/>
    <w:rsid w:val="5B3A818E"/>
    <w:rsid w:val="5F0B35AC"/>
    <w:rsid w:val="6005E6F5"/>
    <w:rsid w:val="60A82C3D"/>
    <w:rsid w:val="618B3FE2"/>
    <w:rsid w:val="6264673B"/>
    <w:rsid w:val="62FA7024"/>
    <w:rsid w:val="65C6F1FF"/>
    <w:rsid w:val="668EBFFC"/>
    <w:rsid w:val="69DF28D6"/>
    <w:rsid w:val="6C395A62"/>
    <w:rsid w:val="6CAD84C9"/>
    <w:rsid w:val="6DA0BD95"/>
    <w:rsid w:val="7007178E"/>
    <w:rsid w:val="70C93F7A"/>
    <w:rsid w:val="720910D0"/>
    <w:rsid w:val="727902CB"/>
    <w:rsid w:val="73BEE38B"/>
    <w:rsid w:val="73FC3093"/>
    <w:rsid w:val="76D56B36"/>
    <w:rsid w:val="78EA9B58"/>
    <w:rsid w:val="7E04E3D3"/>
    <w:rsid w:val="7ECBA6D1"/>
    <w:rsid w:val="7F19F902"/>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239CA"/>
  <w15:docId w15:val="{8CE3F531-0C7E-41FD-BF1F-1C6EBCAC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E71F4B"/>
    <w:pPr>
      <w:keepNext/>
      <w:spacing w:after="240" w:line="240" w:lineRule="auto"/>
      <w:outlineLvl w:val="1"/>
    </w:pPr>
    <w:rPr>
      <w:rFonts w:eastAsiaTheme="majorEastAsia" w:cstheme="majorBidi"/>
      <w:b w:val="0"/>
      <w:sz w:val="44"/>
      <w:szCs w:val="26"/>
    </w:rPr>
  </w:style>
  <w:style w:type="paragraph" w:styleId="Heading3">
    <w:name w:val="heading 3"/>
    <w:basedOn w:val="Normal"/>
    <w:next w:val="Normal"/>
    <w:link w:val="Heading3Char"/>
    <w:uiPriority w:val="5"/>
    <w:unhideWhenUsed/>
    <w:qFormat/>
    <w:rsid w:val="00CB148E"/>
    <w:pPr>
      <w:keepNext/>
      <w:keepLines/>
      <w:spacing w:before="40"/>
      <w:outlineLvl w:val="2"/>
    </w:pPr>
    <w:rPr>
      <w:rFonts w:asciiTheme="majorHAnsi" w:eastAsiaTheme="majorEastAsia" w:hAnsiTheme="majorHAnsi" w:cstheme="majorBidi"/>
      <w:b w:val="0"/>
      <w:szCs w:val="24"/>
    </w:rPr>
  </w:style>
  <w:style w:type="paragraph" w:styleId="Heading4">
    <w:name w:val="heading 4"/>
    <w:basedOn w:val="Normal"/>
    <w:next w:val="Normal"/>
    <w:link w:val="Heading4Char"/>
    <w:uiPriority w:val="1"/>
    <w:unhideWhenUsed/>
    <w:qFormat/>
    <w:rsid w:val="00F14747"/>
    <w:pPr>
      <w:keepNext/>
      <w:keepLines/>
      <w:spacing w:before="40"/>
      <w:outlineLvl w:val="3"/>
    </w:pPr>
    <w:rPr>
      <w:rFonts w:asciiTheme="majorHAnsi" w:eastAsiaTheme="majorEastAsia" w:hAnsiTheme="majorHAnsi" w:cstheme="majorBidi"/>
      <w:i/>
      <w:iCs/>
      <w:color w:val="013A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4"/>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4"/>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E71F4B"/>
    <w:rPr>
      <w:rFonts w:eastAsiaTheme="majorEastAsia" w:cstheme="majorBidi"/>
      <w:color w:val="082A75" w:themeColor="text2"/>
      <w:sz w:val="44"/>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680D42"/>
    <w:rPr>
      <w:b w:val="0"/>
      <w:sz w:val="24"/>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680D42"/>
    <w:rPr>
      <w:rFonts w:eastAsiaTheme="minorEastAsia"/>
      <w:color w:val="082A75" w:themeColor="text2"/>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TOC1">
    <w:name w:val="toc 1"/>
    <w:basedOn w:val="Normal"/>
    <w:next w:val="Normal"/>
    <w:autoRedefine/>
    <w:uiPriority w:val="39"/>
    <w:unhideWhenUsed/>
    <w:rsid w:val="00CE45D4"/>
    <w:pPr>
      <w:spacing w:after="100"/>
    </w:pPr>
  </w:style>
  <w:style w:type="paragraph" w:styleId="TOC2">
    <w:name w:val="toc 2"/>
    <w:basedOn w:val="Normal"/>
    <w:next w:val="Normal"/>
    <w:autoRedefine/>
    <w:uiPriority w:val="39"/>
    <w:unhideWhenUsed/>
    <w:rsid w:val="00CE45D4"/>
    <w:pPr>
      <w:spacing w:after="100"/>
      <w:ind w:left="280"/>
    </w:pPr>
  </w:style>
  <w:style w:type="character" w:styleId="Hyperlink">
    <w:name w:val="Hyperlink"/>
    <w:basedOn w:val="DefaultParagraphFont"/>
    <w:uiPriority w:val="99"/>
    <w:unhideWhenUsed/>
    <w:rsid w:val="00CE45D4"/>
    <w:rPr>
      <w:color w:val="3592CF" w:themeColor="hyperlink"/>
      <w:u w:val="single"/>
    </w:rPr>
  </w:style>
  <w:style w:type="character" w:customStyle="1" w:styleId="Heading3Char">
    <w:name w:val="Heading 3 Char"/>
    <w:basedOn w:val="DefaultParagraphFont"/>
    <w:link w:val="Heading3"/>
    <w:uiPriority w:val="5"/>
    <w:rsid w:val="00CB148E"/>
    <w:rPr>
      <w:rFonts w:asciiTheme="majorHAnsi" w:eastAsiaTheme="majorEastAsia" w:hAnsiTheme="majorHAnsi" w:cstheme="majorBidi"/>
      <w:color w:val="082A75" w:themeColor="text2"/>
      <w:sz w:val="28"/>
    </w:rPr>
  </w:style>
  <w:style w:type="paragraph" w:styleId="ListParagraph">
    <w:name w:val="List Paragraph"/>
    <w:basedOn w:val="Normal"/>
    <w:uiPriority w:val="34"/>
    <w:unhideWhenUsed/>
    <w:qFormat/>
    <w:rsid w:val="00680D42"/>
    <w:pPr>
      <w:ind w:left="720"/>
      <w:contextualSpacing/>
    </w:pPr>
    <w:rPr>
      <w:b w:val="0"/>
      <w:sz w:val="24"/>
    </w:rPr>
  </w:style>
  <w:style w:type="paragraph" w:styleId="IntenseQuote">
    <w:name w:val="Intense Quote"/>
    <w:aliases w:val="Alternate Heading 1"/>
    <w:basedOn w:val="Normal"/>
    <w:next w:val="Normal"/>
    <w:link w:val="IntenseQuoteChar"/>
    <w:uiPriority w:val="30"/>
    <w:qFormat/>
    <w:rsid w:val="007540FB"/>
    <w:pPr>
      <w:spacing w:before="120" w:after="120" w:line="240" w:lineRule="auto"/>
    </w:pPr>
    <w:rPr>
      <w:color w:val="77B32F"/>
      <w:szCs w:val="24"/>
    </w:rPr>
  </w:style>
  <w:style w:type="character" w:customStyle="1" w:styleId="IntenseQuoteChar">
    <w:name w:val="Intense Quote Char"/>
    <w:aliases w:val="Alternate Heading 1 Char"/>
    <w:basedOn w:val="DefaultParagraphFont"/>
    <w:link w:val="IntenseQuote"/>
    <w:uiPriority w:val="30"/>
    <w:rsid w:val="007540FB"/>
    <w:rPr>
      <w:rFonts w:eastAsiaTheme="minorEastAsia"/>
      <w:b/>
      <w:color w:val="77B32F"/>
      <w:sz w:val="28"/>
    </w:rPr>
  </w:style>
  <w:style w:type="table" w:styleId="PlainTable1">
    <w:name w:val="Plain Table 1"/>
    <w:basedOn w:val="TableNormal"/>
    <w:uiPriority w:val="41"/>
    <w:rsid w:val="003C0E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D72A54"/>
    <w:pPr>
      <w:spacing w:after="100"/>
      <w:ind w:left="560"/>
    </w:pPr>
  </w:style>
  <w:style w:type="table" w:styleId="PlainTable3">
    <w:name w:val="Plain Table 3"/>
    <w:basedOn w:val="TableNormal"/>
    <w:uiPriority w:val="43"/>
    <w:rsid w:val="00EF654C"/>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ppendixTitle">
    <w:name w:val="Appendix Title"/>
    <w:basedOn w:val="Heading1"/>
    <w:link w:val="AppendixTitleChar"/>
    <w:qFormat/>
    <w:rsid w:val="00953E92"/>
    <w:pPr>
      <w:jc w:val="center"/>
    </w:pPr>
  </w:style>
  <w:style w:type="paragraph" w:styleId="TableofFigures">
    <w:name w:val="table of figures"/>
    <w:basedOn w:val="Normal"/>
    <w:next w:val="Normal"/>
    <w:uiPriority w:val="99"/>
    <w:unhideWhenUsed/>
    <w:rsid w:val="00D82DC3"/>
  </w:style>
  <w:style w:type="character" w:customStyle="1" w:styleId="AppendixTitleChar">
    <w:name w:val="Appendix Title Char"/>
    <w:basedOn w:val="Heading1Char"/>
    <w:link w:val="AppendixTitle"/>
    <w:rsid w:val="00953E92"/>
    <w:rPr>
      <w:rFonts w:asciiTheme="majorHAnsi" w:eastAsiaTheme="majorEastAsia" w:hAnsiTheme="majorHAnsi" w:cstheme="majorBidi"/>
      <w:b/>
      <w:color w:val="061F57" w:themeColor="text2" w:themeShade="BF"/>
      <w:kern w:val="28"/>
      <w:sz w:val="52"/>
      <w:szCs w:val="32"/>
    </w:rPr>
  </w:style>
  <w:style w:type="character" w:customStyle="1" w:styleId="Heading4Char">
    <w:name w:val="Heading 4 Char"/>
    <w:basedOn w:val="DefaultParagraphFont"/>
    <w:link w:val="Heading4"/>
    <w:uiPriority w:val="1"/>
    <w:rsid w:val="00F14747"/>
    <w:rPr>
      <w:rFonts w:asciiTheme="majorHAnsi" w:eastAsiaTheme="majorEastAsia" w:hAnsiTheme="majorHAnsi" w:cstheme="majorBidi"/>
      <w:b/>
      <w:i/>
      <w:iCs/>
      <w:color w:val="013A57" w:themeColor="accent1" w:themeShade="BF"/>
      <w:sz w:val="28"/>
      <w:szCs w:val="22"/>
    </w:rPr>
  </w:style>
  <w:style w:type="character" w:styleId="CommentReference">
    <w:name w:val="annotation reference"/>
    <w:basedOn w:val="DefaultParagraphFont"/>
    <w:uiPriority w:val="99"/>
    <w:semiHidden/>
    <w:unhideWhenUsed/>
    <w:rsid w:val="00F947AF"/>
    <w:rPr>
      <w:sz w:val="16"/>
      <w:szCs w:val="16"/>
    </w:rPr>
  </w:style>
  <w:style w:type="paragraph" w:styleId="CommentText">
    <w:name w:val="annotation text"/>
    <w:basedOn w:val="Normal"/>
    <w:link w:val="CommentTextChar"/>
    <w:uiPriority w:val="99"/>
    <w:unhideWhenUsed/>
    <w:rsid w:val="00F947AF"/>
    <w:pPr>
      <w:spacing w:line="240" w:lineRule="auto"/>
    </w:pPr>
    <w:rPr>
      <w:sz w:val="20"/>
      <w:szCs w:val="20"/>
    </w:rPr>
  </w:style>
  <w:style w:type="character" w:customStyle="1" w:styleId="CommentTextChar">
    <w:name w:val="Comment Text Char"/>
    <w:basedOn w:val="DefaultParagraphFont"/>
    <w:link w:val="CommentText"/>
    <w:uiPriority w:val="99"/>
    <w:rsid w:val="00F947AF"/>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F947AF"/>
    <w:rPr>
      <w:bCs/>
    </w:rPr>
  </w:style>
  <w:style w:type="character" w:customStyle="1" w:styleId="CommentSubjectChar">
    <w:name w:val="Comment Subject Char"/>
    <w:basedOn w:val="CommentTextChar"/>
    <w:link w:val="CommentSubject"/>
    <w:uiPriority w:val="99"/>
    <w:semiHidden/>
    <w:rsid w:val="00F947AF"/>
    <w:rPr>
      <w:rFonts w:eastAsiaTheme="minorEastAsia"/>
      <w:b/>
      <w:bCs/>
      <w:color w:val="082A75" w:themeColor="text2"/>
      <w:sz w:val="20"/>
      <w:szCs w:val="20"/>
    </w:rPr>
  </w:style>
  <w:style w:type="character" w:styleId="UnresolvedMention">
    <w:name w:val="Unresolved Mention"/>
    <w:basedOn w:val="DefaultParagraphFont"/>
    <w:uiPriority w:val="99"/>
    <w:semiHidden/>
    <w:unhideWhenUsed/>
    <w:rsid w:val="005E1DDA"/>
    <w:rPr>
      <w:color w:val="605E5C"/>
      <w:shd w:val="clear" w:color="auto" w:fill="E1DFDD"/>
    </w:rPr>
  </w:style>
  <w:style w:type="paragraph" w:customStyle="1" w:styleId="Default">
    <w:name w:val="Default"/>
    <w:rsid w:val="008B6230"/>
    <w:pPr>
      <w:autoSpaceDE w:val="0"/>
      <w:autoSpaceDN w:val="0"/>
      <w:adjustRightInd w:val="0"/>
      <w:spacing w:after="0" w:line="240" w:lineRule="auto"/>
    </w:pPr>
    <w:rPr>
      <w:rFonts w:ascii="Times New Roman" w:hAnsi="Times New Roman" w:cs="Times New Roman"/>
      <w:color w:val="000000"/>
    </w:rPr>
  </w:style>
  <w:style w:type="paragraph" w:styleId="Revision">
    <w:name w:val="Revision"/>
    <w:hidden/>
    <w:uiPriority w:val="99"/>
    <w:semiHidden/>
    <w:rsid w:val="00BE3472"/>
    <w:pPr>
      <w:spacing w:after="0" w:line="240" w:lineRule="auto"/>
    </w:pPr>
    <w:rPr>
      <w:rFonts w:eastAsiaTheme="minorEastAsia"/>
      <w:b/>
      <w:color w:val="082A75" w:themeColor="text2"/>
      <w:sz w:val="28"/>
      <w:szCs w:val="22"/>
    </w:rPr>
  </w:style>
  <w:style w:type="paragraph" w:styleId="NormalWeb">
    <w:name w:val="Normal (Web)"/>
    <w:basedOn w:val="Normal"/>
    <w:uiPriority w:val="99"/>
    <w:semiHidden/>
    <w:unhideWhenUsed/>
    <w:rsid w:val="00AD7502"/>
    <w:pPr>
      <w:spacing w:before="100" w:beforeAutospacing="1" w:after="100" w:afterAutospacing="1" w:line="240" w:lineRule="auto"/>
    </w:pPr>
    <w:rPr>
      <w:rFonts w:ascii="Times New Roman" w:eastAsia="Times New Roman" w:hAnsi="Times New Roman" w:cs="Times New Roman"/>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196">
      <w:bodyDiv w:val="1"/>
      <w:marLeft w:val="0"/>
      <w:marRight w:val="0"/>
      <w:marTop w:val="0"/>
      <w:marBottom w:val="0"/>
      <w:divBdr>
        <w:top w:val="none" w:sz="0" w:space="0" w:color="auto"/>
        <w:left w:val="none" w:sz="0" w:space="0" w:color="auto"/>
        <w:bottom w:val="none" w:sz="0" w:space="0" w:color="auto"/>
        <w:right w:val="none" w:sz="0" w:space="0" w:color="auto"/>
      </w:divBdr>
    </w:div>
    <w:div w:id="161698273">
      <w:bodyDiv w:val="1"/>
      <w:marLeft w:val="0"/>
      <w:marRight w:val="0"/>
      <w:marTop w:val="0"/>
      <w:marBottom w:val="0"/>
      <w:divBdr>
        <w:top w:val="none" w:sz="0" w:space="0" w:color="auto"/>
        <w:left w:val="none" w:sz="0" w:space="0" w:color="auto"/>
        <w:bottom w:val="none" w:sz="0" w:space="0" w:color="auto"/>
        <w:right w:val="none" w:sz="0" w:space="0" w:color="auto"/>
      </w:divBdr>
      <w:divsChild>
        <w:div w:id="1814299185">
          <w:marLeft w:val="547"/>
          <w:marRight w:val="0"/>
          <w:marTop w:val="0"/>
          <w:marBottom w:val="0"/>
          <w:divBdr>
            <w:top w:val="none" w:sz="0" w:space="0" w:color="auto"/>
            <w:left w:val="none" w:sz="0" w:space="0" w:color="auto"/>
            <w:bottom w:val="none" w:sz="0" w:space="0" w:color="auto"/>
            <w:right w:val="none" w:sz="0" w:space="0" w:color="auto"/>
          </w:divBdr>
        </w:div>
      </w:divsChild>
    </w:div>
    <w:div w:id="419912319">
      <w:bodyDiv w:val="1"/>
      <w:marLeft w:val="0"/>
      <w:marRight w:val="0"/>
      <w:marTop w:val="0"/>
      <w:marBottom w:val="0"/>
      <w:divBdr>
        <w:top w:val="none" w:sz="0" w:space="0" w:color="auto"/>
        <w:left w:val="none" w:sz="0" w:space="0" w:color="auto"/>
        <w:bottom w:val="none" w:sz="0" w:space="0" w:color="auto"/>
        <w:right w:val="none" w:sz="0" w:space="0" w:color="auto"/>
      </w:divBdr>
      <w:divsChild>
        <w:div w:id="134103469">
          <w:marLeft w:val="418"/>
          <w:marRight w:val="0"/>
          <w:marTop w:val="40"/>
          <w:marBottom w:val="80"/>
          <w:divBdr>
            <w:top w:val="none" w:sz="0" w:space="0" w:color="auto"/>
            <w:left w:val="none" w:sz="0" w:space="0" w:color="auto"/>
            <w:bottom w:val="none" w:sz="0" w:space="0" w:color="auto"/>
            <w:right w:val="none" w:sz="0" w:space="0" w:color="auto"/>
          </w:divBdr>
        </w:div>
      </w:divsChild>
    </w:div>
    <w:div w:id="819808144">
      <w:bodyDiv w:val="1"/>
      <w:marLeft w:val="0"/>
      <w:marRight w:val="0"/>
      <w:marTop w:val="0"/>
      <w:marBottom w:val="0"/>
      <w:divBdr>
        <w:top w:val="none" w:sz="0" w:space="0" w:color="auto"/>
        <w:left w:val="none" w:sz="0" w:space="0" w:color="auto"/>
        <w:bottom w:val="none" w:sz="0" w:space="0" w:color="auto"/>
        <w:right w:val="none" w:sz="0" w:space="0" w:color="auto"/>
      </w:divBdr>
    </w:div>
    <w:div w:id="1304775907">
      <w:bodyDiv w:val="1"/>
      <w:marLeft w:val="0"/>
      <w:marRight w:val="0"/>
      <w:marTop w:val="0"/>
      <w:marBottom w:val="0"/>
      <w:divBdr>
        <w:top w:val="none" w:sz="0" w:space="0" w:color="auto"/>
        <w:left w:val="none" w:sz="0" w:space="0" w:color="auto"/>
        <w:bottom w:val="none" w:sz="0" w:space="0" w:color="auto"/>
        <w:right w:val="none" w:sz="0" w:space="0" w:color="auto"/>
      </w:divBdr>
      <w:divsChild>
        <w:div w:id="1739479485">
          <w:marLeft w:val="547"/>
          <w:marRight w:val="0"/>
          <w:marTop w:val="0"/>
          <w:marBottom w:val="0"/>
          <w:divBdr>
            <w:top w:val="none" w:sz="0" w:space="0" w:color="auto"/>
            <w:left w:val="none" w:sz="0" w:space="0" w:color="auto"/>
            <w:bottom w:val="none" w:sz="0" w:space="0" w:color="auto"/>
            <w:right w:val="none" w:sz="0" w:space="0" w:color="auto"/>
          </w:divBdr>
        </w:div>
      </w:divsChild>
    </w:div>
    <w:div w:id="1319188357">
      <w:bodyDiv w:val="1"/>
      <w:marLeft w:val="0"/>
      <w:marRight w:val="0"/>
      <w:marTop w:val="0"/>
      <w:marBottom w:val="0"/>
      <w:divBdr>
        <w:top w:val="none" w:sz="0" w:space="0" w:color="auto"/>
        <w:left w:val="none" w:sz="0" w:space="0" w:color="auto"/>
        <w:bottom w:val="none" w:sz="0" w:space="0" w:color="auto"/>
        <w:right w:val="none" w:sz="0" w:space="0" w:color="auto"/>
      </w:divBdr>
    </w:div>
    <w:div w:id="1379743784">
      <w:bodyDiv w:val="1"/>
      <w:marLeft w:val="0"/>
      <w:marRight w:val="0"/>
      <w:marTop w:val="0"/>
      <w:marBottom w:val="0"/>
      <w:divBdr>
        <w:top w:val="none" w:sz="0" w:space="0" w:color="auto"/>
        <w:left w:val="none" w:sz="0" w:space="0" w:color="auto"/>
        <w:bottom w:val="none" w:sz="0" w:space="0" w:color="auto"/>
        <w:right w:val="none" w:sz="0" w:space="0" w:color="auto"/>
      </w:divBdr>
    </w:div>
    <w:div w:id="1651324119">
      <w:bodyDiv w:val="1"/>
      <w:marLeft w:val="0"/>
      <w:marRight w:val="0"/>
      <w:marTop w:val="0"/>
      <w:marBottom w:val="0"/>
      <w:divBdr>
        <w:top w:val="none" w:sz="0" w:space="0" w:color="auto"/>
        <w:left w:val="none" w:sz="0" w:space="0" w:color="auto"/>
        <w:bottom w:val="none" w:sz="0" w:space="0" w:color="auto"/>
        <w:right w:val="none" w:sz="0" w:space="0" w:color="auto"/>
      </w:divBdr>
      <w:divsChild>
        <w:div w:id="2105608081">
          <w:marLeft w:val="547"/>
          <w:marRight w:val="0"/>
          <w:marTop w:val="0"/>
          <w:marBottom w:val="0"/>
          <w:divBdr>
            <w:top w:val="none" w:sz="0" w:space="0" w:color="auto"/>
            <w:left w:val="none" w:sz="0" w:space="0" w:color="auto"/>
            <w:bottom w:val="none" w:sz="0" w:space="0" w:color="auto"/>
            <w:right w:val="none" w:sz="0" w:space="0" w:color="auto"/>
          </w:divBdr>
        </w:div>
      </w:divsChild>
    </w:div>
    <w:div w:id="1919632234">
      <w:bodyDiv w:val="1"/>
      <w:marLeft w:val="0"/>
      <w:marRight w:val="0"/>
      <w:marTop w:val="0"/>
      <w:marBottom w:val="0"/>
      <w:divBdr>
        <w:top w:val="none" w:sz="0" w:space="0" w:color="auto"/>
        <w:left w:val="none" w:sz="0" w:space="0" w:color="auto"/>
        <w:bottom w:val="none" w:sz="0" w:space="0" w:color="auto"/>
        <w:right w:val="none" w:sz="0" w:space="0" w:color="auto"/>
      </w:divBdr>
      <w:divsChild>
        <w:div w:id="13541086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602\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e3f09c3df709400db2417a7161762d62 xmlns="22d004a6-2f8d-4a75-9f1d-859e2ae55add">
      <Terms xmlns="http://schemas.microsoft.com/office/infopath/2007/PartnerControls"/>
    </e3f09c3df709400db2417a7161762d62>
    <Document_x0020_Creation_x0020_Date xmlns="4ffa91fb-a0ff-4ac5-b2db-65c790d184a4">2020-03-18T04:00:00+00:00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Riha, Kristin</DisplayName>
        <AccountId>2323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45B6F5BA0DB46BA8C1B0146813348" ma:contentTypeVersion="15" ma:contentTypeDescription="Create a new document." ma:contentTypeScope="" ma:versionID="44286e82c75417524776e5d6b824880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d004a6-2f8d-4a75-9f1d-859e2ae55add" xmlns:ns6="17622ab0-b98f-4e8e-afef-2c80c1a276fc" targetNamespace="http://schemas.microsoft.com/office/2006/metadata/properties" ma:root="true" ma:fieldsID="bbc77cf1eb18b9f3211eabe86ca8b6ab" ns1:_="" ns2:_="" ns3:_="" ns4:_="" ns5:_="" ns6:_="">
    <xsd:import namespace="http://schemas.microsoft.com/sharepoint/v3"/>
    <xsd:import namespace="4ffa91fb-a0ff-4ac5-b2db-65c790d184a4"/>
    <xsd:import namespace="http://schemas.microsoft.com/sharepoint.v3"/>
    <xsd:import namespace="http://schemas.microsoft.com/sharepoint/v3/fields"/>
    <xsd:import namespace="22d004a6-2f8d-4a75-9f1d-859e2ae55add"/>
    <xsd:import namespace="17622ab0-b98f-4e8e-afef-2c80c1a276f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4f485cd-92c0-4abe-a378-745fe4335b12}" ma:internalName="TaxCatchAllLabel" ma:readOnly="true" ma:showField="CatchAllDataLabel" ma:web="22d004a6-2f8d-4a75-9f1d-859e2ae55ad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4f485cd-92c0-4abe-a378-745fe4335b12}" ma:internalName="TaxCatchAll" ma:showField="CatchAllData" ma:web="22d004a6-2f8d-4a75-9f1d-859e2ae55a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004a6-2f8d-4a75-9f1d-859e2ae55add"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22ab0-b98f-4e8e-afef-2c80c1a276f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E2E5-8CB0-4572-B433-AF99B6CAD073}">
  <ds:schemaRefs>
    <ds:schemaRef ds:uri="http://schemas.microsoft.com/sharepoint/v3/contenttype/forms"/>
  </ds:schemaRefs>
</ds:datastoreItem>
</file>

<file path=customXml/itemProps2.xml><?xml version="1.0" encoding="utf-8"?>
<ds:datastoreItem xmlns:ds="http://schemas.openxmlformats.org/officeDocument/2006/customXml" ds:itemID="{FBE8C51B-96D0-44C2-9DC5-362BB69A99A6}">
  <ds:schemaRefs>
    <ds:schemaRef ds:uri="http://schemas.microsoft.com/sharepoint.v3"/>
    <ds:schemaRef ds:uri="http://purl.org/dc/terms/"/>
    <ds:schemaRef ds:uri="22d004a6-2f8d-4a75-9f1d-859e2ae55add"/>
    <ds:schemaRef ds:uri="31f836ba-f673-4ee3-a32d-cd74bff07f34"/>
    <ds:schemaRef ds:uri="http://schemas.microsoft.com/sharepoint/v3"/>
    <ds:schemaRef ds:uri="http://schemas.microsoft.com/sharepoint/v3/fields"/>
    <ds:schemaRef ds:uri="http://schemas.microsoft.com/sharepoint/v4"/>
    <ds:schemaRef ds:uri="http://schemas.microsoft.com/office/infopath/2007/PartnerControls"/>
    <ds:schemaRef ds:uri="846cd87d-8317-4481-9f7e-abc1d5f00689"/>
    <ds:schemaRef ds:uri="3c914cde-9af0-457a-a7da-575c2d52b74b"/>
    <ds:schemaRef ds:uri="http://schemas.microsoft.com/office/2006/documentManagement/types"/>
    <ds:schemaRef ds:uri="http://schemas.openxmlformats.org/package/2006/metadata/core-properties"/>
    <ds:schemaRef ds:uri="http://purl.org/dc/dcmitype/"/>
    <ds:schemaRef ds:uri="http://www.w3.org/XML/1998/namespace"/>
    <ds:schemaRef ds:uri="4ffa91fb-a0ff-4ac5-b2db-65c790d184a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57BFF82-C908-43FB-BE7F-86C1181D7FA5}"/>
</file>

<file path=customXml/itemProps4.xml><?xml version="1.0" encoding="utf-8"?>
<ds:datastoreItem xmlns:ds="http://schemas.openxmlformats.org/officeDocument/2006/customXml" ds:itemID="{2D769881-E928-4619-A301-E918F4D8992E}">
  <ds:schemaRefs>
    <ds:schemaRef ds:uri="Microsoft.SharePoint.Taxonomy.ContentTypeSync"/>
  </ds:schemaRefs>
</ds:datastoreItem>
</file>

<file path=customXml/itemProps5.xml><?xml version="1.0" encoding="utf-8"?>
<ds:datastoreItem xmlns:ds="http://schemas.openxmlformats.org/officeDocument/2006/customXml" ds:itemID="{5F5D8986-89FD-47BA-B9FC-902B8A77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1</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Tammy</dc:creator>
  <cp:keywords/>
  <cp:lastModifiedBy>Kristin Riha</cp:lastModifiedBy>
  <cp:revision>3</cp:revision>
  <cp:lastPrinted>2019-12-04T22:49:00Z</cp:lastPrinted>
  <dcterms:created xsi:type="dcterms:W3CDTF">2020-06-24T17:55:00Z</dcterms:created>
  <dcterms:modified xsi:type="dcterms:W3CDTF">2020-07-27T11:46:00Z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0x01010094745B6F5BA0DB46BA8C1B0146813348</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ies>
</file>