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46" w:rsidRDefault="00C33046">
      <w:r>
        <w:t>Federal Definition of VOC:</w:t>
      </w:r>
    </w:p>
    <w:p w:rsidR="00FD5ECE" w:rsidRDefault="00FD5ECE" w:rsidP="00FD5ECE">
      <w:r>
        <w:t xml:space="preserve">e-CFR data is current as of </w:t>
      </w:r>
      <w:r w:rsidR="00164034">
        <w:t>June 28, 2021</w:t>
      </w:r>
      <w:bookmarkStart w:id="0" w:name="_GoBack"/>
      <w:bookmarkEnd w:id="0"/>
    </w:p>
    <w:p w:rsidR="00FD5ECE" w:rsidRDefault="00FD5ECE" w:rsidP="00FD5ECE">
      <w:r>
        <w:t>Title 40 → Chapter I → Subchapter C → Part 51 → Subpart F → §51.100</w:t>
      </w:r>
    </w:p>
    <w:p w:rsidR="00FD5ECE" w:rsidRDefault="00FD5ECE" w:rsidP="00FD5ECE">
      <w:r>
        <w:t>Title 40: Protection of Environment</w:t>
      </w:r>
    </w:p>
    <w:p w:rsidR="00FD5ECE" w:rsidRDefault="00FD5ECE" w:rsidP="00FD5ECE">
      <w:r>
        <w:t>PART 51—REQUIREMENTS FOR PREPARATION, ADOPTION, AND SUBMITTAL OF IMPLEMENTATION PLANS</w:t>
      </w:r>
    </w:p>
    <w:p w:rsidR="00FD5ECE" w:rsidRDefault="00FD5ECE" w:rsidP="00FD5ECE">
      <w:r>
        <w:t>Subpart F—Procedural Requirements</w:t>
      </w:r>
    </w:p>
    <w:p w:rsidR="00C33046" w:rsidRDefault="00FD5ECE" w:rsidP="00FD5ECE">
      <w:r>
        <w:t>§51.100   Definitions.</w:t>
      </w:r>
    </w:p>
    <w:p w:rsidR="00164034" w:rsidRPr="00164034" w:rsidRDefault="00FD5ECE" w:rsidP="00164034">
      <w:r>
        <w:t xml:space="preserve">(s) </w:t>
      </w:r>
      <w:r w:rsidR="00164034" w:rsidRPr="00164034">
        <w:rPr>
          <w:i/>
          <w:iCs/>
        </w:rPr>
        <w:t>Volatile organic compounds (VOC)</w:t>
      </w:r>
      <w:r w:rsidR="00164034" w:rsidRPr="00164034">
        <w:t> means any compound of carbon, excluding carbon monoxide, carbon dioxide, carbonic acid, metallic carbides or carbonates, and ammonium carbonate, which participates in atmospheric photochemical reactions.</w:t>
      </w:r>
    </w:p>
    <w:p w:rsidR="00164034" w:rsidRPr="00164034" w:rsidRDefault="00164034" w:rsidP="00164034">
      <w:r w:rsidRPr="00164034">
        <w:t xml:space="preserve">(1) This includes any such organic compound other than the following, which have been determined to have negligible photochemical reactivity: Methane; ethane; methylene chloride (dichloromethane); 1,1,1-trichloroethane (methyl chloroform); 1,1,2-trichloro-1,2,2-trifluoroethane (CFC-113); </w:t>
      </w:r>
      <w:proofErr w:type="spellStart"/>
      <w:r w:rsidRPr="00164034">
        <w:t>trichlorofluoromethane</w:t>
      </w:r>
      <w:proofErr w:type="spellEnd"/>
      <w:r w:rsidRPr="00164034">
        <w:t xml:space="preserve"> (CFC-11); dichlorodifluoromethane (CFC-12); </w:t>
      </w:r>
      <w:proofErr w:type="spellStart"/>
      <w:r w:rsidRPr="00164034">
        <w:t>chlorodifluoromethane</w:t>
      </w:r>
      <w:proofErr w:type="spellEnd"/>
      <w:r w:rsidRPr="00164034">
        <w:t xml:space="preserve"> (HCFC-22); </w:t>
      </w:r>
      <w:proofErr w:type="spellStart"/>
      <w:r w:rsidRPr="00164034">
        <w:t>trifluoromethane</w:t>
      </w:r>
      <w:proofErr w:type="spellEnd"/>
      <w:r w:rsidRPr="00164034">
        <w:t xml:space="preserve"> (HFC-23); 1,2-dichloro 1,1,2,2-tetrafluoroethane (CFC-114); </w:t>
      </w:r>
      <w:proofErr w:type="spellStart"/>
      <w:r w:rsidRPr="00164034">
        <w:t>chloropentafluoroethane</w:t>
      </w:r>
      <w:proofErr w:type="spellEnd"/>
      <w:r w:rsidRPr="00164034">
        <w:t xml:space="preserve"> (CFC-115); 1,1,1-trifluoro 2,2-dichloroethane (HCFC-123); 1,1,1,2-tetrafluoroethane (HFC-134a); 1,1-dichloro 1-fluoroethane (HCFC-141b); 1-chloro 1,1-difluoroethane (HCFC-142b); 2-chloro-1,1,1,2-tetrafluoroethane (HCFC-124); </w:t>
      </w:r>
      <w:proofErr w:type="spellStart"/>
      <w:r w:rsidRPr="00164034">
        <w:t>pentafluoroethane</w:t>
      </w:r>
      <w:proofErr w:type="spellEnd"/>
      <w:r w:rsidRPr="00164034">
        <w:t xml:space="preserve"> (HFC-125); 1,1,2,2-tetrafluoroethane (HFC-134); 1,1,1-trifluoroethane (HFC-143a); 1,1-difluoroethane (HFC-152a); </w:t>
      </w:r>
      <w:proofErr w:type="spellStart"/>
      <w:r w:rsidRPr="00164034">
        <w:t>parachlorobenzotrifluoride</w:t>
      </w:r>
      <w:proofErr w:type="spellEnd"/>
      <w:r w:rsidRPr="00164034">
        <w:t xml:space="preserve"> (PCBTF); cyclic, branched, or linear completely methylated siloxanes; acetone; </w:t>
      </w:r>
      <w:proofErr w:type="spellStart"/>
      <w:r w:rsidRPr="00164034">
        <w:t>perchloroethylene</w:t>
      </w:r>
      <w:proofErr w:type="spellEnd"/>
      <w:r w:rsidRPr="00164034">
        <w:t xml:space="preserve"> (tetrachloroethylene); 3,3-dichloro-1,1,1,2,2-pentafluoropropane (HCFC-225ca); 1,3-dichloro-1,1,2,2,3-pentafluoropropane (HCFC-225cb); 1,1,1,2,3,4,4,5,5,5-decafluoropentane (HFC 43-10mee); </w:t>
      </w:r>
      <w:proofErr w:type="spellStart"/>
      <w:r w:rsidRPr="00164034">
        <w:t>difluoromethane</w:t>
      </w:r>
      <w:proofErr w:type="spellEnd"/>
      <w:r w:rsidRPr="00164034">
        <w:t xml:space="preserve"> (HFC-32); </w:t>
      </w:r>
      <w:proofErr w:type="spellStart"/>
      <w:r w:rsidRPr="00164034">
        <w:t>ethylfluoride</w:t>
      </w:r>
      <w:proofErr w:type="spellEnd"/>
      <w:r w:rsidRPr="00164034">
        <w:t xml:space="preserve"> (HFC-161); 1,1,1,3,3,3-hexafluoropropane (HFC-236fa); 1,1,2,2,3-pentafluoropropane (HFC-245ca); 1,1,2,3,3-pentafluoropropane (HFC-245ea); 1,1,1,2,3-pentafluoropropane (HFC-245eb); 1,1,1,3,3-pentafluoropropane (HFC-245fa); 1,1,1,2,3,3-hexafluoropropane (HFC-236ea); 1,1,1,3,3-pentafluorobutane (HFC-365mfc); </w:t>
      </w:r>
      <w:proofErr w:type="spellStart"/>
      <w:r w:rsidRPr="00164034">
        <w:t>chlorofluoromethane</w:t>
      </w:r>
      <w:proofErr w:type="spellEnd"/>
      <w:r w:rsidRPr="00164034">
        <w:t xml:space="preserve"> (HCFC-31); 1 chloro-1-fluoroethane (HCFC-151a); 1,2-dichloro-1,1,2-trifluoroethane (HCFC-123a); 1,1,1,2,2,3,3,4,4-nonafluoro-4-methoxy-butane (C</w:t>
      </w:r>
      <w:r w:rsidRPr="00164034">
        <w:rPr>
          <w:vertAlign w:val="subscript"/>
        </w:rPr>
        <w:t>4</w:t>
      </w:r>
      <w:r w:rsidRPr="00164034">
        <w:t>F</w:t>
      </w:r>
      <w:r w:rsidRPr="00164034">
        <w:rPr>
          <w:vertAlign w:val="subscript"/>
        </w:rPr>
        <w:t>9</w:t>
      </w:r>
      <w:r w:rsidRPr="00164034">
        <w:t>OCH</w:t>
      </w:r>
      <w:r w:rsidRPr="00164034">
        <w:rPr>
          <w:vertAlign w:val="subscript"/>
        </w:rPr>
        <w:t>3</w:t>
      </w:r>
      <w:r w:rsidRPr="00164034">
        <w:t> or HFE-7100); 2-(</w:t>
      </w:r>
      <w:proofErr w:type="spellStart"/>
      <w:r w:rsidRPr="00164034">
        <w:t>difluoromethoxymethyl</w:t>
      </w:r>
      <w:proofErr w:type="spellEnd"/>
      <w:r w:rsidRPr="00164034">
        <w:t>)-1,1,1,2,3,3,3-heptafluoropropane ((CF</w:t>
      </w:r>
      <w:r w:rsidRPr="00164034">
        <w:rPr>
          <w:vertAlign w:val="subscript"/>
        </w:rPr>
        <w:t>3</w:t>
      </w:r>
      <w:r w:rsidRPr="00164034">
        <w:t>)</w:t>
      </w:r>
      <w:r w:rsidRPr="00164034">
        <w:rPr>
          <w:vertAlign w:val="subscript"/>
        </w:rPr>
        <w:t>2</w:t>
      </w:r>
      <w:r w:rsidRPr="00164034">
        <w:t>CFCF</w:t>
      </w:r>
      <w:r w:rsidRPr="00164034">
        <w:rPr>
          <w:vertAlign w:val="subscript"/>
        </w:rPr>
        <w:t>2</w:t>
      </w:r>
      <w:r w:rsidRPr="00164034">
        <w:t>OCH</w:t>
      </w:r>
      <w:r w:rsidRPr="00164034">
        <w:rPr>
          <w:vertAlign w:val="subscript"/>
        </w:rPr>
        <w:t>3</w:t>
      </w:r>
      <w:r w:rsidRPr="00164034">
        <w:t>); 1-ethoxy-1,1,2,2,3,3,4,4,4-nonafluorobutane (C</w:t>
      </w:r>
      <w:r w:rsidRPr="00164034">
        <w:rPr>
          <w:vertAlign w:val="subscript"/>
        </w:rPr>
        <w:t>4</w:t>
      </w:r>
      <w:r w:rsidRPr="00164034">
        <w:t>F</w:t>
      </w:r>
      <w:r w:rsidRPr="00164034">
        <w:rPr>
          <w:vertAlign w:val="subscript"/>
        </w:rPr>
        <w:t>9</w:t>
      </w:r>
      <w:r w:rsidRPr="00164034">
        <w:t>OC</w:t>
      </w:r>
      <w:r w:rsidRPr="00164034">
        <w:rPr>
          <w:vertAlign w:val="subscript"/>
        </w:rPr>
        <w:t>2</w:t>
      </w:r>
      <w:r w:rsidRPr="00164034">
        <w:t>H</w:t>
      </w:r>
      <w:r w:rsidRPr="00164034">
        <w:rPr>
          <w:vertAlign w:val="subscript"/>
        </w:rPr>
        <w:t>5</w:t>
      </w:r>
      <w:r w:rsidRPr="00164034">
        <w:t> or HFE-7200); 2-(</w:t>
      </w:r>
      <w:proofErr w:type="spellStart"/>
      <w:r w:rsidRPr="00164034">
        <w:t>ethoxydifluoromethyl</w:t>
      </w:r>
      <w:proofErr w:type="spellEnd"/>
      <w:r w:rsidRPr="00164034">
        <w:t>)-1,1,1,2,3,3,3-heptafluoropropane ((CF</w:t>
      </w:r>
      <w:r w:rsidRPr="00164034">
        <w:rPr>
          <w:vertAlign w:val="subscript"/>
        </w:rPr>
        <w:t>3</w:t>
      </w:r>
      <w:r w:rsidRPr="00164034">
        <w:t>)</w:t>
      </w:r>
      <w:r w:rsidRPr="00164034">
        <w:rPr>
          <w:vertAlign w:val="subscript"/>
        </w:rPr>
        <w:t>2</w:t>
      </w:r>
      <w:r w:rsidRPr="00164034">
        <w:t>CFCF</w:t>
      </w:r>
      <w:r w:rsidRPr="00164034">
        <w:rPr>
          <w:vertAlign w:val="subscript"/>
        </w:rPr>
        <w:t>2</w:t>
      </w:r>
      <w:r w:rsidRPr="00164034">
        <w:t>OC</w:t>
      </w:r>
      <w:r w:rsidRPr="00164034">
        <w:rPr>
          <w:vertAlign w:val="subscript"/>
        </w:rPr>
        <w:t>2</w:t>
      </w:r>
      <w:r w:rsidRPr="00164034">
        <w:t>H</w:t>
      </w:r>
      <w:r w:rsidRPr="00164034">
        <w:rPr>
          <w:vertAlign w:val="subscript"/>
        </w:rPr>
        <w:t>5</w:t>
      </w:r>
      <w:r w:rsidRPr="00164034">
        <w:t>); methyl acetate; 1,1,1,2,2,3,3-heptafluoro-3-methoxy-propane (n-C3F7OCH3, HFE-7000); 3-ethoxy- 1,1,1,2,3,4,4,5,5,6,6,6-dodecafluoro-2-(</w:t>
      </w:r>
      <w:proofErr w:type="spellStart"/>
      <w:r w:rsidRPr="00164034">
        <w:t>trifluoromethyl</w:t>
      </w:r>
      <w:proofErr w:type="spellEnd"/>
      <w:r w:rsidRPr="00164034">
        <w:t xml:space="preserve">) hexane (HFE-7500); 1,1,1,2,3,3,3-heptafluoropropane (HFC 227ea); methyl </w:t>
      </w:r>
      <w:proofErr w:type="spellStart"/>
      <w:r w:rsidRPr="00164034">
        <w:t>formate</w:t>
      </w:r>
      <w:proofErr w:type="spellEnd"/>
      <w:r w:rsidRPr="00164034">
        <w:t xml:space="preserve"> (HCOOCH3); 1,1,1,2,2,3,4,5,5,5-decafluoro-3-methoxy-4-trifluoromethyl-pentane (HFE-7300); propylene carbonate; dimethyl carbonate; </w:t>
      </w:r>
      <w:r w:rsidRPr="00164034">
        <w:rPr>
          <w:i/>
          <w:iCs/>
        </w:rPr>
        <w:t>trans</w:t>
      </w:r>
      <w:r w:rsidRPr="00164034">
        <w:t>-1,3,3,3-tetrafluoropropene; HCF</w:t>
      </w:r>
      <w:r w:rsidRPr="00164034">
        <w:rPr>
          <w:vertAlign w:val="subscript"/>
        </w:rPr>
        <w:t>2</w:t>
      </w:r>
      <w:r w:rsidRPr="00164034">
        <w:t>OCF</w:t>
      </w:r>
      <w:r w:rsidRPr="00164034">
        <w:rPr>
          <w:vertAlign w:val="subscript"/>
        </w:rPr>
        <w:t>2</w:t>
      </w:r>
      <w:r w:rsidRPr="00164034">
        <w:t>H (HFE-134); HCF</w:t>
      </w:r>
      <w:r w:rsidRPr="00164034">
        <w:rPr>
          <w:vertAlign w:val="subscript"/>
        </w:rPr>
        <w:t>2</w:t>
      </w:r>
      <w:r w:rsidRPr="00164034">
        <w:t>OCF</w:t>
      </w:r>
      <w:r w:rsidRPr="00164034">
        <w:rPr>
          <w:vertAlign w:val="subscript"/>
        </w:rPr>
        <w:t>2</w:t>
      </w:r>
      <w:r w:rsidRPr="00164034">
        <w:t>OCF</w:t>
      </w:r>
      <w:r w:rsidRPr="00164034">
        <w:rPr>
          <w:vertAlign w:val="subscript"/>
        </w:rPr>
        <w:t>2</w:t>
      </w:r>
      <w:r w:rsidRPr="00164034">
        <w:t>H (HFE-236cal2); HCF</w:t>
      </w:r>
      <w:r w:rsidRPr="00164034">
        <w:rPr>
          <w:vertAlign w:val="subscript"/>
        </w:rPr>
        <w:t>2</w:t>
      </w:r>
      <w:r w:rsidRPr="00164034">
        <w:t>OCF</w:t>
      </w:r>
      <w:r w:rsidRPr="00164034">
        <w:rPr>
          <w:vertAlign w:val="subscript"/>
        </w:rPr>
        <w:t>2</w:t>
      </w:r>
      <w:r w:rsidRPr="00164034">
        <w:t>CF</w:t>
      </w:r>
      <w:r w:rsidRPr="00164034">
        <w:rPr>
          <w:vertAlign w:val="subscript"/>
        </w:rPr>
        <w:t>2</w:t>
      </w:r>
      <w:r w:rsidRPr="00164034">
        <w:t>OCF</w:t>
      </w:r>
      <w:r w:rsidRPr="00164034">
        <w:rPr>
          <w:vertAlign w:val="subscript"/>
        </w:rPr>
        <w:t>2</w:t>
      </w:r>
      <w:r w:rsidRPr="00164034">
        <w:t>H (HFE-338pcc13); HCF</w:t>
      </w:r>
      <w:r w:rsidRPr="00164034">
        <w:rPr>
          <w:vertAlign w:val="subscript"/>
        </w:rPr>
        <w:t>2</w:t>
      </w:r>
      <w:r w:rsidRPr="00164034">
        <w:t>OCF</w:t>
      </w:r>
      <w:r w:rsidRPr="00164034">
        <w:rPr>
          <w:vertAlign w:val="subscript"/>
        </w:rPr>
        <w:t>2</w:t>
      </w:r>
      <w:r w:rsidRPr="00164034">
        <w:t>OCF</w:t>
      </w:r>
      <w:r w:rsidRPr="00164034">
        <w:rPr>
          <w:vertAlign w:val="subscript"/>
        </w:rPr>
        <w:t>2</w:t>
      </w:r>
      <w:r w:rsidRPr="00164034">
        <w:t>CF</w:t>
      </w:r>
      <w:r w:rsidRPr="00164034">
        <w:rPr>
          <w:vertAlign w:val="subscript"/>
        </w:rPr>
        <w:t>2</w:t>
      </w:r>
      <w:r w:rsidRPr="00164034">
        <w:t>OCF</w:t>
      </w:r>
      <w:r w:rsidRPr="00164034">
        <w:rPr>
          <w:vertAlign w:val="subscript"/>
        </w:rPr>
        <w:t>2</w:t>
      </w:r>
      <w:r w:rsidRPr="00164034">
        <w:t>H (H-</w:t>
      </w:r>
      <w:proofErr w:type="spellStart"/>
      <w:r w:rsidRPr="00164034">
        <w:t>Galden</w:t>
      </w:r>
      <w:proofErr w:type="spellEnd"/>
      <w:r w:rsidRPr="00164034">
        <w:t xml:space="preserve"> 1040x or H-</w:t>
      </w:r>
      <w:proofErr w:type="spellStart"/>
      <w:r w:rsidRPr="00164034">
        <w:t>Galden</w:t>
      </w:r>
      <w:proofErr w:type="spellEnd"/>
      <w:r w:rsidRPr="00164034">
        <w:t xml:space="preserve"> ZT 130 (or 150 or 180)); </w:t>
      </w:r>
      <w:r w:rsidRPr="00164034">
        <w:rPr>
          <w:i/>
          <w:iCs/>
        </w:rPr>
        <w:t>trans</w:t>
      </w:r>
      <w:r w:rsidRPr="00164034">
        <w:t xml:space="preserve"> 1-chloro-3,3,3-trifluoroprop-1-ene; 2,3,3,3-tetrafluoropropene; 2-amino-2-methyl-1-propanol; t-butyl acetate; 1,1,2,2- </w:t>
      </w:r>
      <w:proofErr w:type="spellStart"/>
      <w:r w:rsidRPr="00164034">
        <w:t>Tetrafluoro</w:t>
      </w:r>
      <w:proofErr w:type="spellEnd"/>
      <w:r w:rsidRPr="00164034">
        <w:t xml:space="preserve"> -1-(2,2,2-trifluoroethoxy) ethane; </w:t>
      </w:r>
      <w:r w:rsidRPr="00164034">
        <w:rPr>
          <w:i/>
          <w:iCs/>
        </w:rPr>
        <w:t>cis-</w:t>
      </w:r>
      <w:r w:rsidRPr="00164034">
        <w:t>1,1,1,4,4,4-hexafluorobut-2-ene (HFO-1336mzz-Z); and perfluorocarbon compounds which fall into these classes:</w:t>
      </w:r>
    </w:p>
    <w:p w:rsidR="00164034" w:rsidRPr="00164034" w:rsidRDefault="00164034" w:rsidP="00164034">
      <w:r w:rsidRPr="00164034">
        <w:lastRenderedPageBreak/>
        <w:t>(</w:t>
      </w:r>
      <w:proofErr w:type="spellStart"/>
      <w:r w:rsidRPr="00164034">
        <w:t>i</w:t>
      </w:r>
      <w:proofErr w:type="spellEnd"/>
      <w:r w:rsidRPr="00164034">
        <w:t>) Cyclic, branched, or linear, completely fluorinated alkanes;</w:t>
      </w:r>
    </w:p>
    <w:p w:rsidR="00164034" w:rsidRPr="00164034" w:rsidRDefault="00164034" w:rsidP="00164034">
      <w:r w:rsidRPr="00164034">
        <w:t xml:space="preserve">(ii) Cyclic, branched, or linear, completely fluorinated ethers with no </w:t>
      </w:r>
      <w:proofErr w:type="spellStart"/>
      <w:r w:rsidRPr="00164034">
        <w:t>unsaturations</w:t>
      </w:r>
      <w:proofErr w:type="spellEnd"/>
      <w:r w:rsidRPr="00164034">
        <w:t>;</w:t>
      </w:r>
    </w:p>
    <w:p w:rsidR="00164034" w:rsidRPr="00164034" w:rsidRDefault="00164034" w:rsidP="00164034">
      <w:r w:rsidRPr="00164034">
        <w:t xml:space="preserve">(iii) Cyclic, branched, or linear, completely fluorinated tertiary amines with no </w:t>
      </w:r>
      <w:proofErr w:type="spellStart"/>
      <w:r w:rsidRPr="00164034">
        <w:t>unsaturations</w:t>
      </w:r>
      <w:proofErr w:type="spellEnd"/>
      <w:r w:rsidRPr="00164034">
        <w:t>; and</w:t>
      </w:r>
    </w:p>
    <w:p w:rsidR="00164034" w:rsidRPr="00164034" w:rsidRDefault="00164034" w:rsidP="00164034">
      <w:proofErr w:type="gramStart"/>
      <w:r w:rsidRPr="00164034">
        <w:t>(iv) Sulfur</w:t>
      </w:r>
      <w:proofErr w:type="gramEnd"/>
      <w:r w:rsidRPr="00164034">
        <w:t xml:space="preserve"> containing perfluorocarbons with no </w:t>
      </w:r>
      <w:proofErr w:type="spellStart"/>
      <w:r w:rsidRPr="00164034">
        <w:t>unsaturations</w:t>
      </w:r>
      <w:proofErr w:type="spellEnd"/>
      <w:r w:rsidRPr="00164034">
        <w:t xml:space="preserve"> and with sulfur bonds only to carbon and fluorine.</w:t>
      </w:r>
    </w:p>
    <w:p w:rsidR="00164034" w:rsidRPr="00164034" w:rsidRDefault="00164034" w:rsidP="00164034">
      <w:r w:rsidRPr="00164034">
        <w:t>(2) For purposes of determining compliance with emissions limits, VOC will be measured by the test methods in the approved State implementation plan (SIP) or </w:t>
      </w:r>
      <w:hyperlink r:id="rId4" w:history="1">
        <w:r w:rsidRPr="00164034">
          <w:rPr>
            <w:rStyle w:val="Hyperlink"/>
          </w:rPr>
          <w:t>40 CFR part 60</w:t>
        </w:r>
      </w:hyperlink>
      <w:r w:rsidRPr="00164034">
        <w:t>, appendix A, as applicable. Where such a method also measures compounds with negligible photochemical reactivity, these negligibility-reactive compounds may be excluded as VOC if the amount of such compounds is accurately quantified, and such exclusion is approved by the enforcement authority.</w:t>
      </w:r>
    </w:p>
    <w:p w:rsidR="00164034" w:rsidRPr="00164034" w:rsidRDefault="00164034" w:rsidP="00164034">
      <w:r w:rsidRPr="00164034">
        <w:t>(3) As a precondition to excluding these compounds as VOC or at any time thereafter, the enforcement authority may require an owner or operator to provide monitoring or testing methods and results demonstrating, to the satisfaction of the enforcement authority, the amount of negligibly-reactive compounds in the source's emissions.</w:t>
      </w:r>
    </w:p>
    <w:p w:rsidR="00164034" w:rsidRPr="00164034" w:rsidRDefault="00164034" w:rsidP="00164034">
      <w:r w:rsidRPr="00164034">
        <w:t>(4) For purposes of Federal enforcement for a specific source, the EPA shall use the test methods specified in the applicable EPA-approved SIP, in a permit issued pursuant to a program approved or promulgated under title V of the Act, or under </w:t>
      </w:r>
      <w:hyperlink r:id="rId5" w:history="1">
        <w:r w:rsidRPr="00164034">
          <w:rPr>
            <w:rStyle w:val="Hyperlink"/>
          </w:rPr>
          <w:t>40 CFR part 51, subpart I</w:t>
        </w:r>
      </w:hyperlink>
      <w:r w:rsidRPr="00164034">
        <w:t> or </w:t>
      </w:r>
      <w:hyperlink r:id="rId6" w:history="1">
        <w:r w:rsidRPr="00164034">
          <w:rPr>
            <w:rStyle w:val="Hyperlink"/>
          </w:rPr>
          <w:t>appendix</w:t>
        </w:r>
      </w:hyperlink>
      <w:r w:rsidRPr="00164034">
        <w:t> S, or under </w:t>
      </w:r>
      <w:hyperlink r:id="rId7" w:history="1">
        <w:r w:rsidRPr="00164034">
          <w:rPr>
            <w:rStyle w:val="Hyperlink"/>
          </w:rPr>
          <w:t>40 CFR parts 52</w:t>
        </w:r>
      </w:hyperlink>
      <w:r w:rsidRPr="00164034">
        <w:t> or </w:t>
      </w:r>
      <w:hyperlink r:id="rId8" w:history="1">
        <w:r w:rsidRPr="00164034">
          <w:rPr>
            <w:rStyle w:val="Hyperlink"/>
          </w:rPr>
          <w:t>60</w:t>
        </w:r>
      </w:hyperlink>
      <w:r w:rsidRPr="00164034">
        <w:t>. The EPA shall not be bound by any State determination as to appropriate methods for testing or monitoring negligibly-reactive compounds if such determination is not reflected in any of the above provisions.</w:t>
      </w:r>
    </w:p>
    <w:p w:rsidR="00164034" w:rsidRPr="00164034" w:rsidRDefault="00164034" w:rsidP="00164034">
      <w:r w:rsidRPr="00164034">
        <w:t>(5) [Reserved]</w:t>
      </w:r>
    </w:p>
    <w:p w:rsidR="00164034" w:rsidRPr="00164034" w:rsidRDefault="00164034" w:rsidP="00164034">
      <w:r w:rsidRPr="00164034">
        <w:t>(6) For the purposes of determining compliance with California's aerosol coatings reactivity-based regulation, (as described in the California Code of Regulations, Title 17, Division 3, Chapter 1, Subchapter 8.5, Article 3), any organic compound in the volatile portion of an aerosol coating is counted towards that product's reactivity-based limit. Therefore, the compounds identified in </w:t>
      </w:r>
      <w:hyperlink r:id="rId9" w:anchor="p-51.100(s)" w:history="1">
        <w:r w:rsidRPr="00164034">
          <w:rPr>
            <w:rStyle w:val="Hyperlink"/>
          </w:rPr>
          <w:t>paragraph (s)</w:t>
        </w:r>
      </w:hyperlink>
      <w:r w:rsidRPr="00164034">
        <w:t> of this section as negligibly reactive and excluded from EPA's definition of VOCs are to be counted towards a product's reactivity limit for the purposes of determining compliance with California's aerosol coatings reactivity-based regulation.</w:t>
      </w:r>
    </w:p>
    <w:p w:rsidR="00164034" w:rsidRPr="00164034" w:rsidRDefault="00164034" w:rsidP="00164034">
      <w:r w:rsidRPr="00164034">
        <w:t>(7) For the purposes of determining compliance with EPA's aerosol coatings reactivity based regulation (as described in </w:t>
      </w:r>
      <w:hyperlink r:id="rId10" w:history="1">
        <w:r w:rsidRPr="00164034">
          <w:rPr>
            <w:rStyle w:val="Hyperlink"/>
          </w:rPr>
          <w:t>40 CFR part 59</w:t>
        </w:r>
      </w:hyperlink>
      <w:r w:rsidRPr="00164034">
        <w:t> - National Volatile Organic Compound Emission Standards for Consumer and Commercial Products) any organic compound in the volatile portion of an aerosol coating is counted towards the product's reactivity-based limit, as provided in </w:t>
      </w:r>
      <w:hyperlink r:id="rId11" w:history="1">
        <w:r w:rsidRPr="00164034">
          <w:rPr>
            <w:rStyle w:val="Hyperlink"/>
          </w:rPr>
          <w:t>40 CFR part 59, subpart E</w:t>
        </w:r>
      </w:hyperlink>
      <w:r w:rsidRPr="00164034">
        <w:t>. Therefore, the compounds that are used in aerosol coating products and that are identified in </w:t>
      </w:r>
      <w:hyperlink r:id="rId12" w:anchor="p-51.100(s)(1)" w:history="1">
        <w:r w:rsidRPr="00164034">
          <w:rPr>
            <w:rStyle w:val="Hyperlink"/>
          </w:rPr>
          <w:t>paragraphs (s)(1)</w:t>
        </w:r>
      </w:hyperlink>
      <w:r w:rsidRPr="00164034">
        <w:t> or </w:t>
      </w:r>
      <w:hyperlink r:id="rId13" w:anchor="p-51.100(s)(5)" w:history="1">
        <w:r w:rsidRPr="00164034">
          <w:rPr>
            <w:rStyle w:val="Hyperlink"/>
          </w:rPr>
          <w:t>(s)(5)</w:t>
        </w:r>
      </w:hyperlink>
      <w:r w:rsidRPr="00164034">
        <w:t> of this section as excluded from EPA's definition of VOC are to be counted towards a product's reactivity limit for the purposes of determining compliance with EPA's aerosol coatings reactivity-based national regulation, as provided in </w:t>
      </w:r>
      <w:hyperlink r:id="rId14" w:history="1">
        <w:r w:rsidRPr="00164034">
          <w:rPr>
            <w:rStyle w:val="Hyperlink"/>
          </w:rPr>
          <w:t>40 CFR part 59, subpart E</w:t>
        </w:r>
      </w:hyperlink>
      <w:r w:rsidRPr="00164034">
        <w:t>.</w:t>
      </w:r>
    </w:p>
    <w:p w:rsidR="00FD5ECE" w:rsidRDefault="00FD5ECE" w:rsidP="00164034"/>
    <w:sectPr w:rsidR="00FD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6"/>
    <w:rsid w:val="00164034"/>
    <w:rsid w:val="001D1C98"/>
    <w:rsid w:val="00211941"/>
    <w:rsid w:val="003E035D"/>
    <w:rsid w:val="006D6787"/>
    <w:rsid w:val="00754636"/>
    <w:rsid w:val="007A2C38"/>
    <w:rsid w:val="00855B30"/>
    <w:rsid w:val="008C303E"/>
    <w:rsid w:val="00A82DFC"/>
    <w:rsid w:val="00C33046"/>
    <w:rsid w:val="00DE613D"/>
    <w:rsid w:val="00E1598A"/>
    <w:rsid w:val="00FD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C4A8-3CF5-4F1B-8FE4-F6C60287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4847">
      <w:bodyDiv w:val="1"/>
      <w:marLeft w:val="0"/>
      <w:marRight w:val="0"/>
      <w:marTop w:val="0"/>
      <w:marBottom w:val="0"/>
      <w:divBdr>
        <w:top w:val="none" w:sz="0" w:space="0" w:color="auto"/>
        <w:left w:val="none" w:sz="0" w:space="0" w:color="auto"/>
        <w:bottom w:val="none" w:sz="0" w:space="0" w:color="auto"/>
        <w:right w:val="none" w:sz="0" w:space="0" w:color="auto"/>
      </w:divBdr>
      <w:divsChild>
        <w:div w:id="1772968758">
          <w:marLeft w:val="0"/>
          <w:marRight w:val="0"/>
          <w:marTop w:val="0"/>
          <w:marBottom w:val="0"/>
          <w:divBdr>
            <w:top w:val="none" w:sz="0" w:space="0" w:color="auto"/>
            <w:left w:val="none" w:sz="0" w:space="0" w:color="auto"/>
            <w:bottom w:val="none" w:sz="0" w:space="0" w:color="auto"/>
            <w:right w:val="none" w:sz="0" w:space="0" w:color="auto"/>
          </w:divBdr>
          <w:divsChild>
            <w:div w:id="1874995160">
              <w:marLeft w:val="0"/>
              <w:marRight w:val="0"/>
              <w:marTop w:val="0"/>
              <w:marBottom w:val="0"/>
              <w:divBdr>
                <w:top w:val="none" w:sz="0" w:space="0" w:color="auto"/>
                <w:left w:val="none" w:sz="0" w:space="0" w:color="auto"/>
                <w:bottom w:val="none" w:sz="0" w:space="0" w:color="auto"/>
                <w:right w:val="none" w:sz="0" w:space="0" w:color="auto"/>
              </w:divBdr>
            </w:div>
            <w:div w:id="568615691">
              <w:marLeft w:val="0"/>
              <w:marRight w:val="0"/>
              <w:marTop w:val="0"/>
              <w:marBottom w:val="0"/>
              <w:divBdr>
                <w:top w:val="none" w:sz="0" w:space="0" w:color="auto"/>
                <w:left w:val="none" w:sz="0" w:space="0" w:color="auto"/>
                <w:bottom w:val="none" w:sz="0" w:space="0" w:color="auto"/>
                <w:right w:val="none" w:sz="0" w:space="0" w:color="auto"/>
              </w:divBdr>
            </w:div>
            <w:div w:id="1268853485">
              <w:marLeft w:val="0"/>
              <w:marRight w:val="0"/>
              <w:marTop w:val="0"/>
              <w:marBottom w:val="0"/>
              <w:divBdr>
                <w:top w:val="none" w:sz="0" w:space="0" w:color="auto"/>
                <w:left w:val="none" w:sz="0" w:space="0" w:color="auto"/>
                <w:bottom w:val="none" w:sz="0" w:space="0" w:color="auto"/>
                <w:right w:val="none" w:sz="0" w:space="0" w:color="auto"/>
              </w:divBdr>
            </w:div>
            <w:div w:id="1321881535">
              <w:marLeft w:val="0"/>
              <w:marRight w:val="0"/>
              <w:marTop w:val="0"/>
              <w:marBottom w:val="0"/>
              <w:divBdr>
                <w:top w:val="none" w:sz="0" w:space="0" w:color="auto"/>
                <w:left w:val="none" w:sz="0" w:space="0" w:color="auto"/>
                <w:bottom w:val="none" w:sz="0" w:space="0" w:color="auto"/>
                <w:right w:val="none" w:sz="0" w:space="0" w:color="auto"/>
              </w:divBdr>
            </w:div>
          </w:divsChild>
        </w:div>
        <w:div w:id="1528107176">
          <w:marLeft w:val="0"/>
          <w:marRight w:val="0"/>
          <w:marTop w:val="0"/>
          <w:marBottom w:val="0"/>
          <w:divBdr>
            <w:top w:val="none" w:sz="0" w:space="0" w:color="auto"/>
            <w:left w:val="none" w:sz="0" w:space="0" w:color="auto"/>
            <w:bottom w:val="none" w:sz="0" w:space="0" w:color="auto"/>
            <w:right w:val="none" w:sz="0" w:space="0" w:color="auto"/>
          </w:divBdr>
        </w:div>
        <w:div w:id="477380515">
          <w:marLeft w:val="0"/>
          <w:marRight w:val="0"/>
          <w:marTop w:val="0"/>
          <w:marBottom w:val="0"/>
          <w:divBdr>
            <w:top w:val="none" w:sz="0" w:space="0" w:color="auto"/>
            <w:left w:val="none" w:sz="0" w:space="0" w:color="auto"/>
            <w:bottom w:val="none" w:sz="0" w:space="0" w:color="auto"/>
            <w:right w:val="none" w:sz="0" w:space="0" w:color="auto"/>
          </w:divBdr>
        </w:div>
        <w:div w:id="1615676615">
          <w:marLeft w:val="0"/>
          <w:marRight w:val="0"/>
          <w:marTop w:val="0"/>
          <w:marBottom w:val="0"/>
          <w:divBdr>
            <w:top w:val="none" w:sz="0" w:space="0" w:color="auto"/>
            <w:left w:val="none" w:sz="0" w:space="0" w:color="auto"/>
            <w:bottom w:val="none" w:sz="0" w:space="0" w:color="auto"/>
            <w:right w:val="none" w:sz="0" w:space="0" w:color="auto"/>
          </w:divBdr>
        </w:div>
        <w:div w:id="471484781">
          <w:marLeft w:val="0"/>
          <w:marRight w:val="0"/>
          <w:marTop w:val="0"/>
          <w:marBottom w:val="0"/>
          <w:divBdr>
            <w:top w:val="none" w:sz="0" w:space="0" w:color="auto"/>
            <w:left w:val="none" w:sz="0" w:space="0" w:color="auto"/>
            <w:bottom w:val="none" w:sz="0" w:space="0" w:color="auto"/>
            <w:right w:val="none" w:sz="0" w:space="0" w:color="auto"/>
          </w:divBdr>
        </w:div>
        <w:div w:id="1714424060">
          <w:marLeft w:val="0"/>
          <w:marRight w:val="0"/>
          <w:marTop w:val="0"/>
          <w:marBottom w:val="0"/>
          <w:divBdr>
            <w:top w:val="none" w:sz="0" w:space="0" w:color="auto"/>
            <w:left w:val="none" w:sz="0" w:space="0" w:color="auto"/>
            <w:bottom w:val="none" w:sz="0" w:space="0" w:color="auto"/>
            <w:right w:val="none" w:sz="0" w:space="0" w:color="auto"/>
          </w:divBdr>
        </w:div>
        <w:div w:id="1030257549">
          <w:marLeft w:val="0"/>
          <w:marRight w:val="0"/>
          <w:marTop w:val="0"/>
          <w:marBottom w:val="0"/>
          <w:divBdr>
            <w:top w:val="none" w:sz="0" w:space="0" w:color="auto"/>
            <w:left w:val="none" w:sz="0" w:space="0" w:color="auto"/>
            <w:bottom w:val="none" w:sz="0" w:space="0" w:color="auto"/>
            <w:right w:val="none" w:sz="0" w:space="0" w:color="auto"/>
          </w:divBdr>
        </w:div>
      </w:divsChild>
    </w:div>
    <w:div w:id="255140424">
      <w:bodyDiv w:val="1"/>
      <w:marLeft w:val="0"/>
      <w:marRight w:val="0"/>
      <w:marTop w:val="0"/>
      <w:marBottom w:val="0"/>
      <w:divBdr>
        <w:top w:val="none" w:sz="0" w:space="0" w:color="auto"/>
        <w:left w:val="none" w:sz="0" w:space="0" w:color="auto"/>
        <w:bottom w:val="none" w:sz="0" w:space="0" w:color="auto"/>
        <w:right w:val="none" w:sz="0" w:space="0" w:color="auto"/>
      </w:divBdr>
    </w:div>
    <w:div w:id="1294097070">
      <w:bodyDiv w:val="1"/>
      <w:marLeft w:val="0"/>
      <w:marRight w:val="0"/>
      <w:marTop w:val="0"/>
      <w:marBottom w:val="0"/>
      <w:divBdr>
        <w:top w:val="none" w:sz="0" w:space="0" w:color="auto"/>
        <w:left w:val="none" w:sz="0" w:space="0" w:color="auto"/>
        <w:bottom w:val="none" w:sz="0" w:space="0" w:color="auto"/>
        <w:right w:val="none" w:sz="0" w:space="0" w:color="auto"/>
      </w:divBdr>
      <w:divsChild>
        <w:div w:id="74318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fr.federalregister.gov/current/title-40/part-60" TargetMode="External"/><Relationship Id="rId13" Type="http://schemas.openxmlformats.org/officeDocument/2006/relationships/hyperlink" Target="https://ecfr.federalregister.gov/current/title-40/section-51.100" TargetMode="External"/><Relationship Id="rId3" Type="http://schemas.openxmlformats.org/officeDocument/2006/relationships/webSettings" Target="webSettings.xml"/><Relationship Id="rId7" Type="http://schemas.openxmlformats.org/officeDocument/2006/relationships/hyperlink" Target="https://ecfr.federalregister.gov/current/title-40/part-52" TargetMode="External"/><Relationship Id="rId12" Type="http://schemas.openxmlformats.org/officeDocument/2006/relationships/hyperlink" Target="https://ecfr.federalregister.gov/current/title-40/section-51.1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cfr.federalregister.gov/current/title-40/part-51/subpart-appendix" TargetMode="External"/><Relationship Id="rId11" Type="http://schemas.openxmlformats.org/officeDocument/2006/relationships/hyperlink" Target="https://ecfr.federalregister.gov/current/title-40/part-59/subpart-E" TargetMode="External"/><Relationship Id="rId5" Type="http://schemas.openxmlformats.org/officeDocument/2006/relationships/hyperlink" Target="https://ecfr.federalregister.gov/current/title-40/part-51/subpart-I" TargetMode="External"/><Relationship Id="rId15" Type="http://schemas.openxmlformats.org/officeDocument/2006/relationships/fontTable" Target="fontTable.xml"/><Relationship Id="rId10" Type="http://schemas.openxmlformats.org/officeDocument/2006/relationships/hyperlink" Target="https://ecfr.federalregister.gov/current/title-40/part-59" TargetMode="External"/><Relationship Id="rId4" Type="http://schemas.openxmlformats.org/officeDocument/2006/relationships/hyperlink" Target="https://ecfr.federalregister.gov/current/title-40/part-60" TargetMode="External"/><Relationship Id="rId9" Type="http://schemas.openxmlformats.org/officeDocument/2006/relationships/hyperlink" Target="https://ecfr.federalregister.gov/current/title-40/section-51.100" TargetMode="External"/><Relationship Id="rId14" Type="http://schemas.openxmlformats.org/officeDocument/2006/relationships/hyperlink" Target="https://ecfr.federalregister.gov/current/title-40/part-59/subpa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Yager</dc:creator>
  <cp:keywords/>
  <dc:description/>
  <cp:lastModifiedBy>Robert Waterfall</cp:lastModifiedBy>
  <cp:revision>2</cp:revision>
  <dcterms:created xsi:type="dcterms:W3CDTF">2021-06-28T22:35:00Z</dcterms:created>
  <dcterms:modified xsi:type="dcterms:W3CDTF">2021-06-28T22:35:00Z</dcterms:modified>
</cp:coreProperties>
</file>